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z w:val="36"/>
          <w:szCs w:val="36"/>
          <w:lang w:eastAsia="zh-CN"/>
        </w:rPr>
      </w:pPr>
      <w:bookmarkStart w:id="144" w:name="_GoBack"/>
      <w:bookmarkEnd w:id="144"/>
      <w:bookmarkStart w:id="0" w:name="_Toc29319_WPSOffice_Level2"/>
      <w:bookmarkStart w:id="1" w:name="_Toc22358_WPSOffice_Level2"/>
    </w:p>
    <w:p>
      <w:pPr>
        <w:spacing w:after="156" w:afterLines="50" w:line="360" w:lineRule="auto"/>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杭州师范大学钱江学院</w:t>
      </w:r>
      <w:r>
        <w:rPr>
          <w:rFonts w:hint="eastAsia" w:ascii="方正小标宋简体" w:hAnsi="方正小标宋简体" w:eastAsia="方正小标宋简体" w:cs="方正小标宋简体"/>
          <w:b/>
          <w:bCs/>
          <w:sz w:val="36"/>
          <w:szCs w:val="36"/>
        </w:rPr>
        <w:t>2018</w:t>
      </w:r>
      <w:r>
        <w:rPr>
          <w:rFonts w:hint="eastAsia" w:ascii="方正小标宋简体" w:hAnsi="方正小标宋简体" w:eastAsia="方正小标宋简体" w:cs="方正小标宋简体"/>
          <w:b/>
          <w:bCs/>
          <w:sz w:val="36"/>
          <w:szCs w:val="36"/>
          <w:lang w:eastAsia="zh-CN"/>
        </w:rPr>
        <w:t>年度质量报告</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bCs/>
          <w:sz w:val="36"/>
          <w:szCs w:val="36"/>
          <w:lang w:eastAsia="zh-CN"/>
        </w:rPr>
      </w:pPr>
    </w:p>
    <w:p>
      <w:pPr>
        <w:keepNext/>
        <w:keepLines/>
        <w:spacing w:line="360" w:lineRule="auto"/>
        <w:ind w:firstLine="602" w:firstLineChars="200"/>
        <w:outlineLvl w:val="0"/>
        <w:rPr>
          <w:rFonts w:ascii="Times New Roman" w:hAnsi="Times New Roman" w:eastAsia="黑体" w:cs="Times New Roman"/>
          <w:b/>
          <w:kern w:val="44"/>
          <w:sz w:val="30"/>
          <w:szCs w:val="30"/>
        </w:rPr>
      </w:pPr>
      <w:bookmarkStart w:id="2" w:name="_Toc28632_WPSOffice_Level1"/>
      <w:bookmarkStart w:id="3" w:name="_Toc22358_WPSOffice_Level1"/>
      <w:bookmarkStart w:id="4" w:name="_Toc29319_WPSOffice_Level1"/>
      <w:r>
        <w:rPr>
          <w:rFonts w:hint="eastAsia" w:ascii="Times New Roman" w:hAnsi="Times New Roman" w:eastAsia="黑体" w:cs="Times New Roman"/>
          <w:b/>
          <w:kern w:val="44"/>
          <w:sz w:val="30"/>
          <w:szCs w:val="30"/>
        </w:rPr>
        <w:t>一、2018届毕业生就业基本情况</w:t>
      </w:r>
      <w:bookmarkEnd w:id="2"/>
      <w:bookmarkEnd w:id="3"/>
      <w:bookmarkEnd w:id="4"/>
    </w:p>
    <w:p>
      <w:pPr>
        <w:keepNext/>
        <w:keepLines/>
        <w:spacing w:line="360" w:lineRule="auto"/>
        <w:ind w:firstLine="562" w:firstLineChars="200"/>
        <w:outlineLvl w:val="1"/>
        <w:rPr>
          <w:rFonts w:ascii="黑体" w:hAnsi="黑体" w:eastAsia="黑体" w:cs="黑体"/>
          <w:b/>
        </w:rPr>
      </w:pPr>
      <w:bookmarkStart w:id="5" w:name="_Toc3115_WPSOffice_Level2"/>
      <w:bookmarkStart w:id="6" w:name="_Toc23391_WPSOffice_Level2"/>
      <w:r>
        <w:rPr>
          <w:rFonts w:hint="eastAsia" w:ascii="黑体" w:hAnsi="黑体" w:eastAsia="黑体" w:cs="黑体"/>
          <w:b/>
        </w:rPr>
        <w:t>（一）毕业生基本结构</w:t>
      </w:r>
      <w:bookmarkEnd w:id="5"/>
      <w:bookmarkEnd w:id="6"/>
    </w:p>
    <w:p>
      <w:pPr>
        <w:spacing w:line="360" w:lineRule="auto"/>
        <w:ind w:firstLine="560" w:firstLineChars="200"/>
      </w:pPr>
      <w:r>
        <w:rPr>
          <w:rFonts w:hint="eastAsia"/>
        </w:rPr>
        <w:t>1.性别结构</w:t>
      </w:r>
    </w:p>
    <w:p>
      <w:pPr>
        <w:spacing w:line="360" w:lineRule="auto"/>
        <w:ind w:firstLine="560" w:firstLineChars="200"/>
      </w:pPr>
      <w:r>
        <w:rPr>
          <w:rFonts w:hint="eastAsia"/>
        </w:rPr>
        <w:t>学院2018届毕业生共有2232人，学历全部为本科毕业生；其中男生742人，占总毕业生人数的33.24%，女生1490人，占总毕业生人数的66.76%（见</w:t>
      </w:r>
      <w:r>
        <w:rPr>
          <w:rFonts w:hint="eastAsia"/>
        </w:rPr>
        <w:fldChar w:fldCharType="begin" w:fldLock="1"/>
      </w:r>
      <w:r>
        <w:rPr>
          <w:rFonts w:hint="eastAsia"/>
        </w:rPr>
        <w:instrText xml:space="preserve"> REF _Ref16598 \h </w:instrText>
      </w:r>
      <w:r>
        <w:rPr>
          <w:rFonts w:hint="eastAsia"/>
        </w:rPr>
        <w:fldChar w:fldCharType="separate"/>
      </w:r>
      <w:r>
        <w:rPr>
          <w:rFonts w:hint="eastAsia"/>
        </w:rPr>
        <w:t>表 1</w:t>
      </w:r>
      <w:r>
        <w:rPr>
          <w:rFonts w:hint="eastAsia"/>
        </w:rPr>
        <w:fldChar w:fldCharType="end"/>
      </w:r>
      <w:r>
        <w:rPr>
          <w:rFonts w:hint="eastAsia"/>
        </w:rPr>
        <w:t>）。</w:t>
      </w:r>
    </w:p>
    <w:p>
      <w:pPr>
        <w:pStyle w:val="4"/>
        <w:rPr>
          <w:rFonts w:ascii="宋体" w:hAnsi="宋体" w:cs="宋体"/>
        </w:rPr>
      </w:pPr>
      <w:bookmarkStart w:id="7" w:name="_Toc10109"/>
      <w:r>
        <w:t xml:space="preserve">表 </w:t>
      </w:r>
      <w:r>
        <w:fldChar w:fldCharType="begin"/>
      </w:r>
      <w:r>
        <w:instrText xml:space="preserve"> SEQ 表 \* ARABIC </w:instrText>
      </w:r>
      <w:r>
        <w:fldChar w:fldCharType="separate"/>
      </w:r>
      <w:r>
        <w:t>1</w:t>
      </w:r>
      <w:r>
        <w:fldChar w:fldCharType="end"/>
      </w:r>
      <w:bookmarkStart w:id="8" w:name="_Toc9664"/>
      <w:r>
        <w:rPr>
          <w:rFonts w:hint="eastAsia" w:ascii="宋体" w:hAnsi="宋体" w:cs="宋体"/>
        </w:rPr>
        <w:t xml:space="preserve"> 2018届毕业生性别结构情况</w:t>
      </w:r>
      <w:bookmarkEnd w:id="7"/>
      <w:bookmarkEnd w:id="8"/>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408"/>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line="360" w:lineRule="auto"/>
              <w:jc w:val="center"/>
              <w:rPr>
                <w:b/>
                <w:bCs/>
                <w:sz w:val="24"/>
              </w:rPr>
            </w:pPr>
            <w:r>
              <w:rPr>
                <w:rFonts w:hint="eastAsia"/>
                <w:b/>
                <w:bCs/>
                <w:sz w:val="24"/>
              </w:rPr>
              <w:t>性别</w:t>
            </w:r>
          </w:p>
        </w:tc>
        <w:tc>
          <w:tcPr>
            <w:tcW w:w="3408" w:type="dxa"/>
          </w:tcPr>
          <w:p>
            <w:pPr>
              <w:spacing w:line="360" w:lineRule="auto"/>
              <w:jc w:val="center"/>
              <w:rPr>
                <w:b/>
                <w:bCs/>
                <w:sz w:val="24"/>
              </w:rPr>
            </w:pPr>
            <w:r>
              <w:rPr>
                <w:rFonts w:hint="eastAsia"/>
                <w:b/>
                <w:bCs/>
                <w:sz w:val="24"/>
              </w:rPr>
              <w:t>人数</w:t>
            </w:r>
          </w:p>
        </w:tc>
        <w:tc>
          <w:tcPr>
            <w:tcW w:w="3410" w:type="dxa"/>
          </w:tcPr>
          <w:p>
            <w:pPr>
              <w:spacing w:line="360" w:lineRule="auto"/>
              <w:jc w:val="center"/>
              <w:rPr>
                <w:b/>
                <w:bCs/>
                <w:sz w:val="24"/>
              </w:rPr>
            </w:pPr>
            <w:r>
              <w:rPr>
                <w:rFonts w:hint="eastAsia"/>
                <w:b/>
                <w:bCs/>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line="360" w:lineRule="auto"/>
              <w:jc w:val="center"/>
              <w:rPr>
                <w:sz w:val="24"/>
              </w:rPr>
            </w:pPr>
            <w:r>
              <w:rPr>
                <w:rFonts w:hint="eastAsia"/>
                <w:sz w:val="24"/>
              </w:rPr>
              <w:t>男</w:t>
            </w:r>
          </w:p>
        </w:tc>
        <w:tc>
          <w:tcPr>
            <w:tcW w:w="3408" w:type="dxa"/>
          </w:tcPr>
          <w:p>
            <w:pPr>
              <w:spacing w:line="360" w:lineRule="auto"/>
              <w:jc w:val="center"/>
              <w:rPr>
                <w:sz w:val="24"/>
              </w:rPr>
            </w:pPr>
            <w:r>
              <w:rPr>
                <w:rFonts w:hint="eastAsia"/>
                <w:sz w:val="24"/>
              </w:rPr>
              <w:t>742人</w:t>
            </w:r>
          </w:p>
        </w:tc>
        <w:tc>
          <w:tcPr>
            <w:tcW w:w="3410" w:type="dxa"/>
          </w:tcPr>
          <w:p>
            <w:pPr>
              <w:spacing w:line="360" w:lineRule="auto"/>
              <w:jc w:val="center"/>
              <w:rPr>
                <w:sz w:val="24"/>
              </w:rPr>
            </w:pPr>
            <w:r>
              <w:rPr>
                <w:rFonts w:hint="eastAsia"/>
                <w:sz w:val="24"/>
              </w:rPr>
              <w:t>33.24%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line="360" w:lineRule="auto"/>
              <w:jc w:val="center"/>
              <w:rPr>
                <w:sz w:val="24"/>
              </w:rPr>
            </w:pPr>
            <w:r>
              <w:rPr>
                <w:rFonts w:hint="eastAsia"/>
                <w:sz w:val="24"/>
              </w:rPr>
              <w:t>女</w:t>
            </w:r>
          </w:p>
        </w:tc>
        <w:tc>
          <w:tcPr>
            <w:tcW w:w="3408" w:type="dxa"/>
          </w:tcPr>
          <w:p>
            <w:pPr>
              <w:spacing w:line="360" w:lineRule="auto"/>
              <w:jc w:val="center"/>
              <w:rPr>
                <w:sz w:val="24"/>
              </w:rPr>
            </w:pPr>
            <w:r>
              <w:rPr>
                <w:rFonts w:hint="eastAsia"/>
                <w:sz w:val="24"/>
              </w:rPr>
              <w:t>1490人</w:t>
            </w:r>
          </w:p>
        </w:tc>
        <w:tc>
          <w:tcPr>
            <w:tcW w:w="3410" w:type="dxa"/>
          </w:tcPr>
          <w:p>
            <w:pPr>
              <w:spacing w:line="360" w:lineRule="auto"/>
              <w:jc w:val="center"/>
              <w:rPr>
                <w:sz w:val="24"/>
              </w:rPr>
            </w:pPr>
            <w:r>
              <w:rPr>
                <w:rFonts w:hint="eastAsia"/>
                <w:sz w:val="24"/>
              </w:rPr>
              <w:t>66.76%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4" w:type="dxa"/>
          </w:tcPr>
          <w:p>
            <w:pPr>
              <w:spacing w:line="360" w:lineRule="auto"/>
              <w:jc w:val="center"/>
              <w:rPr>
                <w:sz w:val="24"/>
              </w:rPr>
            </w:pPr>
            <w:r>
              <w:rPr>
                <w:rFonts w:hint="eastAsia"/>
                <w:sz w:val="24"/>
              </w:rPr>
              <w:t>合计</w:t>
            </w:r>
          </w:p>
        </w:tc>
        <w:tc>
          <w:tcPr>
            <w:tcW w:w="3408" w:type="dxa"/>
          </w:tcPr>
          <w:p>
            <w:pPr>
              <w:spacing w:line="360" w:lineRule="auto"/>
              <w:jc w:val="center"/>
              <w:rPr>
                <w:sz w:val="24"/>
              </w:rPr>
            </w:pPr>
            <w:r>
              <w:rPr>
                <w:rFonts w:hint="eastAsia"/>
                <w:sz w:val="24"/>
              </w:rPr>
              <w:t>2232人</w:t>
            </w:r>
          </w:p>
        </w:tc>
        <w:tc>
          <w:tcPr>
            <w:tcW w:w="3410" w:type="dxa"/>
          </w:tcPr>
          <w:p>
            <w:pPr>
              <w:spacing w:line="360" w:lineRule="auto"/>
              <w:jc w:val="center"/>
              <w:rPr>
                <w:sz w:val="24"/>
              </w:rPr>
            </w:pPr>
            <w:r>
              <w:rPr>
                <w:rFonts w:hint="eastAsia"/>
                <w:sz w:val="24"/>
              </w:rPr>
              <w:t>100%</w:t>
            </w:r>
          </w:p>
        </w:tc>
      </w:tr>
    </w:tbl>
    <w:p>
      <w:pPr>
        <w:spacing w:line="360" w:lineRule="auto"/>
        <w:ind w:firstLine="560" w:firstLineChars="200"/>
      </w:pPr>
    </w:p>
    <w:p>
      <w:pPr>
        <w:spacing w:line="360" w:lineRule="auto"/>
        <w:ind w:firstLine="560" w:firstLineChars="200"/>
      </w:pPr>
      <w:r>
        <w:rPr>
          <w:rFonts w:hint="eastAsia"/>
        </w:rPr>
        <w:t>2.民族结构</w:t>
      </w:r>
    </w:p>
    <w:p>
      <w:pPr>
        <w:spacing w:line="360" w:lineRule="auto"/>
        <w:ind w:firstLine="560" w:firstLineChars="200"/>
      </w:pPr>
      <w:r>
        <w:rPr>
          <w:rFonts w:hint="eastAsia"/>
        </w:rPr>
        <w:t>汉族毕业生2205人，占总毕业生人数98.79%，少数民族毕业生27人，占总毕业生人数1.21%。共涉及9个少数民族，主要为畲族、回族、满族等（见</w:t>
      </w:r>
      <w:r>
        <w:rPr>
          <w:rFonts w:hint="eastAsia"/>
        </w:rPr>
        <w:fldChar w:fldCharType="begin" w:fldLock="1"/>
      </w:r>
      <w:r>
        <w:rPr>
          <w:rFonts w:hint="eastAsia"/>
        </w:rPr>
        <w:instrText xml:space="preserve"> REF _Ref16732 \h </w:instrText>
      </w:r>
      <w:r>
        <w:rPr>
          <w:rFonts w:hint="eastAsia"/>
        </w:rPr>
        <w:fldChar w:fldCharType="separate"/>
      </w:r>
      <w:r>
        <w:rPr>
          <w:rFonts w:hint="eastAsia"/>
        </w:rPr>
        <w:t>表 2</w:t>
      </w:r>
      <w:r>
        <w:rPr>
          <w:rFonts w:hint="eastAsia"/>
        </w:rPr>
        <w:fldChar w:fldCharType="end"/>
      </w:r>
      <w:r>
        <w:rPr>
          <w:rFonts w:hint="eastAsia"/>
        </w:rPr>
        <w:t>）。</w:t>
      </w:r>
    </w:p>
    <w:p>
      <w:pPr>
        <w:pStyle w:val="4"/>
        <w:rPr>
          <w:rFonts w:ascii="宋体" w:hAnsi="宋体" w:cs="宋体"/>
        </w:rPr>
      </w:pPr>
      <w:bookmarkStart w:id="9" w:name="_Toc30598"/>
      <w:r>
        <w:t xml:space="preserve">表 </w:t>
      </w:r>
      <w:r>
        <w:fldChar w:fldCharType="begin"/>
      </w:r>
      <w:r>
        <w:instrText xml:space="preserve"> SEQ 表 \* ARABIC </w:instrText>
      </w:r>
      <w:r>
        <w:fldChar w:fldCharType="separate"/>
      </w:r>
      <w:r>
        <w:t>2</w:t>
      </w:r>
      <w:r>
        <w:fldChar w:fldCharType="end"/>
      </w:r>
      <w:bookmarkStart w:id="10" w:name="_Toc13867"/>
      <w:r>
        <w:rPr>
          <w:rFonts w:hint="eastAsia" w:ascii="宋体" w:hAnsi="宋体" w:cs="宋体"/>
        </w:rPr>
        <w:t xml:space="preserve"> 2018届毕业生民族比例情况</w:t>
      </w:r>
      <w:bookmarkEnd w:id="9"/>
      <w:bookmarkEnd w:id="10"/>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3010"/>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2" w:type="dxa"/>
          </w:tcPr>
          <w:p>
            <w:pPr>
              <w:spacing w:line="360" w:lineRule="auto"/>
              <w:jc w:val="center"/>
              <w:rPr>
                <w:b/>
                <w:bCs/>
                <w:sz w:val="24"/>
              </w:rPr>
            </w:pPr>
            <w:r>
              <w:rPr>
                <w:rFonts w:hint="eastAsia"/>
                <w:b/>
                <w:bCs/>
                <w:sz w:val="24"/>
              </w:rPr>
              <w:t>民族</w:t>
            </w:r>
          </w:p>
        </w:tc>
        <w:tc>
          <w:tcPr>
            <w:tcW w:w="3010" w:type="dxa"/>
          </w:tcPr>
          <w:p>
            <w:pPr>
              <w:spacing w:line="360" w:lineRule="auto"/>
              <w:jc w:val="center"/>
              <w:rPr>
                <w:b/>
                <w:bCs/>
                <w:sz w:val="24"/>
              </w:rPr>
            </w:pPr>
            <w:r>
              <w:rPr>
                <w:rFonts w:hint="eastAsia"/>
                <w:b/>
                <w:bCs/>
                <w:sz w:val="24"/>
              </w:rPr>
              <w:t>人数</w:t>
            </w:r>
          </w:p>
        </w:tc>
        <w:tc>
          <w:tcPr>
            <w:tcW w:w="3410" w:type="dxa"/>
          </w:tcPr>
          <w:p>
            <w:pPr>
              <w:spacing w:line="360" w:lineRule="auto"/>
              <w:jc w:val="center"/>
              <w:rPr>
                <w:b/>
                <w:bCs/>
                <w:sz w:val="24"/>
              </w:rPr>
            </w:pPr>
            <w:r>
              <w:rPr>
                <w:rFonts w:hint="eastAsia"/>
                <w:b/>
                <w:bCs/>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2" w:type="dxa"/>
          </w:tcPr>
          <w:p>
            <w:pPr>
              <w:spacing w:line="360" w:lineRule="auto"/>
              <w:jc w:val="center"/>
              <w:rPr>
                <w:sz w:val="24"/>
              </w:rPr>
            </w:pPr>
            <w:r>
              <w:rPr>
                <w:rFonts w:hint="eastAsia"/>
                <w:sz w:val="24"/>
              </w:rPr>
              <w:t>汉族</w:t>
            </w:r>
          </w:p>
        </w:tc>
        <w:tc>
          <w:tcPr>
            <w:tcW w:w="3010" w:type="dxa"/>
          </w:tcPr>
          <w:p>
            <w:pPr>
              <w:spacing w:line="360" w:lineRule="auto"/>
              <w:jc w:val="center"/>
              <w:rPr>
                <w:sz w:val="24"/>
              </w:rPr>
            </w:pPr>
            <w:r>
              <w:rPr>
                <w:rFonts w:hint="eastAsia"/>
                <w:sz w:val="24"/>
              </w:rPr>
              <w:t>2205</w:t>
            </w:r>
          </w:p>
        </w:tc>
        <w:tc>
          <w:tcPr>
            <w:tcW w:w="3410" w:type="dxa"/>
          </w:tcPr>
          <w:p>
            <w:pPr>
              <w:spacing w:line="360" w:lineRule="auto"/>
              <w:jc w:val="center"/>
              <w:rPr>
                <w:sz w:val="24"/>
              </w:rPr>
            </w:pPr>
            <w:r>
              <w:rPr>
                <w:rFonts w:hint="eastAsia"/>
                <w:sz w:val="24"/>
              </w:rPr>
              <w:t>98.79%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2" w:type="dxa"/>
          </w:tcPr>
          <w:p>
            <w:pPr>
              <w:spacing w:line="360" w:lineRule="auto"/>
              <w:jc w:val="center"/>
              <w:rPr>
                <w:sz w:val="24"/>
              </w:rPr>
            </w:pPr>
            <w:r>
              <w:rPr>
                <w:rFonts w:hint="eastAsia"/>
                <w:sz w:val="24"/>
              </w:rPr>
              <w:t>少数民族</w:t>
            </w:r>
          </w:p>
        </w:tc>
        <w:tc>
          <w:tcPr>
            <w:tcW w:w="3010" w:type="dxa"/>
          </w:tcPr>
          <w:p>
            <w:pPr>
              <w:spacing w:line="360" w:lineRule="auto"/>
              <w:jc w:val="center"/>
              <w:rPr>
                <w:sz w:val="24"/>
              </w:rPr>
            </w:pPr>
            <w:r>
              <w:rPr>
                <w:rFonts w:hint="eastAsia"/>
                <w:sz w:val="24"/>
              </w:rPr>
              <w:t>27</w:t>
            </w:r>
          </w:p>
        </w:tc>
        <w:tc>
          <w:tcPr>
            <w:tcW w:w="3410" w:type="dxa"/>
          </w:tcPr>
          <w:p>
            <w:pPr>
              <w:spacing w:line="360" w:lineRule="auto"/>
              <w:jc w:val="center"/>
              <w:rPr>
                <w:sz w:val="24"/>
              </w:rPr>
            </w:pPr>
            <w:r>
              <w:rPr>
                <w:rFonts w:hint="eastAsia"/>
                <w:sz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02" w:type="dxa"/>
          </w:tcPr>
          <w:p>
            <w:pPr>
              <w:spacing w:line="360" w:lineRule="auto"/>
              <w:jc w:val="center"/>
              <w:rPr>
                <w:sz w:val="24"/>
              </w:rPr>
            </w:pPr>
            <w:r>
              <w:rPr>
                <w:rFonts w:hint="eastAsia"/>
                <w:sz w:val="24"/>
              </w:rPr>
              <w:t>合计</w:t>
            </w:r>
          </w:p>
        </w:tc>
        <w:tc>
          <w:tcPr>
            <w:tcW w:w="3010" w:type="dxa"/>
          </w:tcPr>
          <w:p>
            <w:pPr>
              <w:spacing w:line="360" w:lineRule="auto"/>
              <w:jc w:val="center"/>
              <w:rPr>
                <w:sz w:val="24"/>
              </w:rPr>
            </w:pPr>
            <w:r>
              <w:rPr>
                <w:rFonts w:hint="eastAsia"/>
                <w:sz w:val="24"/>
              </w:rPr>
              <w:t>2232</w:t>
            </w:r>
          </w:p>
        </w:tc>
        <w:tc>
          <w:tcPr>
            <w:tcW w:w="3410" w:type="dxa"/>
          </w:tcPr>
          <w:p>
            <w:pPr>
              <w:spacing w:line="360" w:lineRule="auto"/>
              <w:jc w:val="center"/>
              <w:rPr>
                <w:rFonts w:hint="eastAsia" w:eastAsia="宋体"/>
                <w:sz w:val="24"/>
                <w:lang w:eastAsia="zh-CN"/>
              </w:rPr>
            </w:pPr>
            <w:r>
              <w:rPr>
                <w:rFonts w:hint="eastAsia"/>
                <w:sz w:val="24"/>
                <w:lang w:eastAsia="zh-CN"/>
              </w:rPr>
              <w:t>100%</w:t>
            </w:r>
          </w:p>
        </w:tc>
      </w:tr>
    </w:tbl>
    <w:p>
      <w:pPr>
        <w:spacing w:line="360" w:lineRule="auto"/>
        <w:ind w:firstLine="560" w:firstLineChars="200"/>
      </w:pPr>
      <w:r>
        <w:rPr>
          <w:rFonts w:hint="eastAsia"/>
        </w:rPr>
        <w:t>3.生源地分布</w:t>
      </w:r>
    </w:p>
    <w:p>
      <w:pPr>
        <w:spacing w:line="360" w:lineRule="auto"/>
        <w:ind w:firstLine="560" w:firstLineChars="200"/>
      </w:pPr>
      <w:r>
        <w:rPr>
          <w:rFonts w:hint="eastAsia"/>
        </w:rPr>
        <w:t>我院2018届毕业生生源遍布20个省、直辖市。（见</w:t>
      </w:r>
      <w:r>
        <w:rPr>
          <w:rFonts w:hint="eastAsia"/>
        </w:rPr>
        <w:fldChar w:fldCharType="begin" w:fldLock="1"/>
      </w:r>
      <w:r>
        <w:rPr>
          <w:rFonts w:hint="eastAsia"/>
        </w:rPr>
        <w:instrText xml:space="preserve"> REF _Ref16980 \h </w:instrText>
      </w:r>
      <w:r>
        <w:rPr>
          <w:rFonts w:hint="eastAsia"/>
        </w:rPr>
        <w:fldChar w:fldCharType="separate"/>
      </w:r>
      <w:r>
        <w:rPr>
          <w:rFonts w:hint="eastAsia"/>
        </w:rPr>
        <w:t>表 3</w:t>
      </w:r>
      <w:r>
        <w:rPr>
          <w:rFonts w:hint="eastAsia"/>
        </w:rPr>
        <w:fldChar w:fldCharType="end"/>
      </w:r>
      <w:r>
        <w:rPr>
          <w:rFonts w:hint="eastAsia"/>
        </w:rPr>
        <w:t>）。</w:t>
      </w:r>
    </w:p>
    <w:p>
      <w:pPr>
        <w:pStyle w:val="4"/>
        <w:rPr>
          <w:rFonts w:ascii="宋体" w:hAnsi="宋体" w:cs="宋体"/>
        </w:rPr>
      </w:pPr>
      <w:bookmarkStart w:id="11" w:name="_Toc638"/>
      <w:r>
        <w:t xml:space="preserve">表 </w:t>
      </w:r>
      <w:r>
        <w:fldChar w:fldCharType="begin"/>
      </w:r>
      <w:r>
        <w:instrText xml:space="preserve"> SEQ 表 \* ARABIC </w:instrText>
      </w:r>
      <w:r>
        <w:fldChar w:fldCharType="separate"/>
      </w:r>
      <w:r>
        <w:t>3</w:t>
      </w:r>
      <w:r>
        <w:fldChar w:fldCharType="end"/>
      </w:r>
      <w:bookmarkStart w:id="12" w:name="_Toc359"/>
      <w:r>
        <w:rPr>
          <w:rFonts w:hint="eastAsia" w:ascii="宋体" w:hAnsi="宋体" w:cs="宋体"/>
        </w:rPr>
        <w:t xml:space="preserve"> 2018届毕业生生源地分布情况</w:t>
      </w:r>
      <w:bookmarkEnd w:id="11"/>
      <w:bookmarkEnd w:id="12"/>
    </w:p>
    <w:tbl>
      <w:tblPr>
        <w:tblStyle w:val="8"/>
        <w:tblW w:w="6250" w:type="dxa"/>
        <w:jc w:val="center"/>
        <w:tblInd w:w="0" w:type="dxa"/>
        <w:tblLayout w:type="fixed"/>
        <w:tblCellMar>
          <w:top w:w="0" w:type="dxa"/>
          <w:left w:w="108" w:type="dxa"/>
          <w:bottom w:w="0" w:type="dxa"/>
          <w:right w:w="108" w:type="dxa"/>
        </w:tblCellMar>
      </w:tblPr>
      <w:tblGrid>
        <w:gridCol w:w="1230"/>
        <w:gridCol w:w="1560"/>
        <w:gridCol w:w="1363"/>
        <w:gridCol w:w="2097"/>
      </w:tblGrid>
      <w:tr>
        <w:tblPrEx>
          <w:tblLayout w:type="fixed"/>
          <w:tblCellMar>
            <w:top w:w="0" w:type="dxa"/>
            <w:left w:w="108" w:type="dxa"/>
            <w:bottom w:w="0" w:type="dxa"/>
            <w:right w:w="108" w:type="dxa"/>
          </w:tblCellMar>
        </w:tblPrEx>
        <w:trPr>
          <w:trHeight w:val="300" w:hRule="atLeast"/>
          <w:jc w:val="center"/>
        </w:trPr>
        <w:tc>
          <w:tcPr>
            <w:tcW w:w="1230"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b/>
                <w:bCs/>
                <w:sz w:val="24"/>
              </w:rPr>
            </w:pPr>
            <w:r>
              <w:rPr>
                <w:rFonts w:hint="eastAsia"/>
                <w:b/>
                <w:bCs/>
                <w:sz w:val="24"/>
              </w:rPr>
              <w:t>地区</w:t>
            </w:r>
          </w:p>
        </w:tc>
        <w:tc>
          <w:tcPr>
            <w:tcW w:w="1560" w:type="dxa"/>
            <w:tcBorders>
              <w:top w:val="single" w:color="auto" w:sz="8" w:space="0"/>
              <w:left w:val="nil"/>
              <w:bottom w:val="single" w:color="auto" w:sz="8" w:space="0"/>
              <w:right w:val="single" w:color="auto" w:sz="8" w:space="0"/>
            </w:tcBorders>
            <w:vAlign w:val="center"/>
          </w:tcPr>
          <w:p>
            <w:pPr>
              <w:spacing w:line="360" w:lineRule="auto"/>
              <w:jc w:val="center"/>
              <w:rPr>
                <w:b/>
                <w:bCs/>
                <w:sz w:val="24"/>
              </w:rPr>
            </w:pPr>
            <w:r>
              <w:rPr>
                <w:rFonts w:hint="eastAsia"/>
                <w:b/>
                <w:bCs/>
                <w:sz w:val="24"/>
              </w:rPr>
              <w:t>省市</w:t>
            </w:r>
          </w:p>
        </w:tc>
        <w:tc>
          <w:tcPr>
            <w:tcW w:w="1363" w:type="dxa"/>
            <w:tcBorders>
              <w:top w:val="single" w:color="auto" w:sz="8" w:space="0"/>
              <w:left w:val="nil"/>
              <w:bottom w:val="single" w:color="auto" w:sz="8" w:space="0"/>
              <w:right w:val="single" w:color="auto" w:sz="8" w:space="0"/>
            </w:tcBorders>
            <w:vAlign w:val="center"/>
          </w:tcPr>
          <w:p>
            <w:pPr>
              <w:spacing w:line="360" w:lineRule="auto"/>
              <w:jc w:val="center"/>
              <w:rPr>
                <w:b/>
                <w:bCs/>
                <w:sz w:val="24"/>
              </w:rPr>
            </w:pPr>
            <w:r>
              <w:rPr>
                <w:rFonts w:hint="eastAsia"/>
                <w:b/>
                <w:bCs/>
                <w:sz w:val="24"/>
              </w:rPr>
              <w:t>人数</w:t>
            </w:r>
          </w:p>
        </w:tc>
        <w:tc>
          <w:tcPr>
            <w:tcW w:w="2097" w:type="dxa"/>
            <w:tcBorders>
              <w:top w:val="single" w:color="auto" w:sz="8" w:space="0"/>
              <w:left w:val="nil"/>
              <w:bottom w:val="single" w:color="auto" w:sz="8" w:space="0"/>
              <w:right w:val="single" w:color="auto" w:sz="8" w:space="0"/>
            </w:tcBorders>
            <w:vAlign w:val="center"/>
          </w:tcPr>
          <w:p>
            <w:pPr>
              <w:spacing w:line="360" w:lineRule="auto"/>
              <w:jc w:val="center"/>
              <w:rPr>
                <w:b/>
                <w:bCs/>
                <w:sz w:val="24"/>
              </w:rPr>
            </w:pPr>
            <w:r>
              <w:rPr>
                <w:rFonts w:hint="eastAsia"/>
                <w:b/>
                <w:bCs/>
                <w:sz w:val="24"/>
              </w:rPr>
              <w:t>比例</w:t>
            </w:r>
          </w:p>
        </w:tc>
      </w:tr>
      <w:tr>
        <w:tblPrEx>
          <w:tblLayout w:type="fixed"/>
          <w:tblCellMar>
            <w:top w:w="0" w:type="dxa"/>
            <w:left w:w="108" w:type="dxa"/>
            <w:bottom w:w="0" w:type="dxa"/>
            <w:right w:w="108" w:type="dxa"/>
          </w:tblCellMar>
        </w:tblPrEx>
        <w:trPr>
          <w:trHeight w:val="300" w:hRule="atLeast"/>
          <w:jc w:val="center"/>
        </w:trPr>
        <w:tc>
          <w:tcPr>
            <w:tcW w:w="1230" w:type="dxa"/>
            <w:vMerge w:val="restart"/>
            <w:tcBorders>
              <w:top w:val="nil"/>
              <w:left w:val="single" w:color="auto" w:sz="8" w:space="0"/>
              <w:bottom w:val="single" w:color="000000" w:sz="8" w:space="0"/>
              <w:right w:val="single" w:color="auto" w:sz="8" w:space="0"/>
            </w:tcBorders>
            <w:vAlign w:val="center"/>
          </w:tcPr>
          <w:p>
            <w:pPr>
              <w:spacing w:line="360" w:lineRule="auto"/>
              <w:jc w:val="center"/>
              <w:rPr>
                <w:sz w:val="24"/>
              </w:rPr>
            </w:pPr>
            <w:r>
              <w:rPr>
                <w:rFonts w:hint="eastAsia"/>
                <w:sz w:val="24"/>
              </w:rPr>
              <w:t>华北</w:t>
            </w: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河北</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33</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1.48%</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山西</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20</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0.90%</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内蒙古</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8</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0.36%</w:t>
            </w:r>
          </w:p>
        </w:tc>
      </w:tr>
      <w:tr>
        <w:tblPrEx>
          <w:tblLayout w:type="fixed"/>
          <w:tblCellMar>
            <w:top w:w="0" w:type="dxa"/>
            <w:left w:w="108" w:type="dxa"/>
            <w:bottom w:w="0" w:type="dxa"/>
            <w:right w:w="108" w:type="dxa"/>
          </w:tblCellMar>
        </w:tblPrEx>
        <w:trPr>
          <w:trHeight w:val="300" w:hRule="atLeast"/>
          <w:jc w:val="center"/>
        </w:trPr>
        <w:tc>
          <w:tcPr>
            <w:tcW w:w="1230" w:type="dxa"/>
            <w:vMerge w:val="restart"/>
            <w:tcBorders>
              <w:top w:val="nil"/>
              <w:left w:val="single" w:color="auto" w:sz="8" w:space="0"/>
              <w:bottom w:val="single" w:color="000000" w:sz="8" w:space="0"/>
              <w:right w:val="single" w:color="auto" w:sz="8" w:space="0"/>
            </w:tcBorders>
            <w:vAlign w:val="center"/>
          </w:tcPr>
          <w:p>
            <w:pPr>
              <w:spacing w:line="360" w:lineRule="auto"/>
              <w:jc w:val="center"/>
              <w:rPr>
                <w:sz w:val="24"/>
              </w:rPr>
            </w:pPr>
            <w:r>
              <w:rPr>
                <w:rFonts w:hint="eastAsia"/>
                <w:sz w:val="24"/>
              </w:rPr>
              <w:t>东北</w:t>
            </w: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辽宁</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6</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0.27%</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吉林</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19</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0.85%</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黑龙江</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39</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1.75%</w:t>
            </w:r>
          </w:p>
        </w:tc>
      </w:tr>
      <w:tr>
        <w:tblPrEx>
          <w:tblLayout w:type="fixed"/>
          <w:tblCellMar>
            <w:top w:w="0" w:type="dxa"/>
            <w:left w:w="108" w:type="dxa"/>
            <w:bottom w:w="0" w:type="dxa"/>
            <w:right w:w="108" w:type="dxa"/>
          </w:tblCellMar>
        </w:tblPrEx>
        <w:trPr>
          <w:trHeight w:val="300" w:hRule="atLeast"/>
          <w:jc w:val="center"/>
        </w:trPr>
        <w:tc>
          <w:tcPr>
            <w:tcW w:w="1230" w:type="dxa"/>
            <w:vMerge w:val="restart"/>
            <w:tcBorders>
              <w:top w:val="nil"/>
              <w:left w:val="single" w:color="auto" w:sz="8" w:space="0"/>
              <w:bottom w:val="single" w:color="000000" w:sz="8" w:space="0"/>
              <w:right w:val="single" w:color="auto" w:sz="8" w:space="0"/>
            </w:tcBorders>
            <w:vAlign w:val="center"/>
          </w:tcPr>
          <w:p>
            <w:pPr>
              <w:spacing w:line="360" w:lineRule="auto"/>
              <w:jc w:val="center"/>
              <w:rPr>
                <w:sz w:val="24"/>
              </w:rPr>
            </w:pPr>
            <w:r>
              <w:rPr>
                <w:rFonts w:hint="eastAsia"/>
                <w:sz w:val="24"/>
              </w:rPr>
              <w:t>华东</w:t>
            </w: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江苏</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13</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0.58%</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浙江</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1896</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84.95%</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安徽</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33</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1.48%</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福建</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9</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0.40%</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江西</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15</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0.67%</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山东</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39</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1.75%</w:t>
            </w:r>
          </w:p>
        </w:tc>
      </w:tr>
      <w:tr>
        <w:tblPrEx>
          <w:tblLayout w:type="fixed"/>
          <w:tblCellMar>
            <w:top w:w="0" w:type="dxa"/>
            <w:left w:w="108" w:type="dxa"/>
            <w:bottom w:w="0" w:type="dxa"/>
            <w:right w:w="108" w:type="dxa"/>
          </w:tblCellMar>
        </w:tblPrEx>
        <w:trPr>
          <w:trHeight w:val="300" w:hRule="atLeast"/>
          <w:jc w:val="center"/>
        </w:trPr>
        <w:tc>
          <w:tcPr>
            <w:tcW w:w="1230" w:type="dxa"/>
            <w:vMerge w:val="restart"/>
            <w:tcBorders>
              <w:top w:val="nil"/>
              <w:left w:val="single" w:color="auto" w:sz="8" w:space="0"/>
              <w:bottom w:val="single" w:color="000000" w:sz="8" w:space="0"/>
              <w:right w:val="single" w:color="auto" w:sz="8" w:space="0"/>
            </w:tcBorders>
            <w:vAlign w:val="center"/>
          </w:tcPr>
          <w:p>
            <w:pPr>
              <w:spacing w:line="360" w:lineRule="auto"/>
              <w:jc w:val="center"/>
              <w:rPr>
                <w:sz w:val="24"/>
              </w:rPr>
            </w:pPr>
            <w:r>
              <w:rPr>
                <w:rFonts w:hint="eastAsia"/>
                <w:sz w:val="24"/>
              </w:rPr>
              <w:t>中南</w:t>
            </w: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河南</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13</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0.58%</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湖北</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8</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0.36%</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nil"/>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湖南</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3</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0.13%</w:t>
            </w:r>
          </w:p>
        </w:tc>
      </w:tr>
      <w:tr>
        <w:tblPrEx>
          <w:tblLayout w:type="fixed"/>
          <w:tblCellMar>
            <w:top w:w="0" w:type="dxa"/>
            <w:left w:w="108" w:type="dxa"/>
            <w:bottom w:w="0" w:type="dxa"/>
            <w:right w:w="108" w:type="dxa"/>
          </w:tblCellMar>
        </w:tblPrEx>
        <w:trPr>
          <w:trHeight w:val="300" w:hRule="atLeast"/>
          <w:jc w:val="center"/>
        </w:trPr>
        <w:tc>
          <w:tcPr>
            <w:tcW w:w="1230" w:type="dxa"/>
            <w:tcBorders>
              <w:top w:val="nil"/>
              <w:left w:val="single" w:color="auto" w:sz="8" w:space="0"/>
              <w:bottom w:val="nil"/>
              <w:right w:val="single" w:color="auto" w:sz="8" w:space="0"/>
            </w:tcBorders>
            <w:vAlign w:val="center"/>
          </w:tcPr>
          <w:p>
            <w:pPr>
              <w:spacing w:line="360" w:lineRule="auto"/>
              <w:jc w:val="center"/>
              <w:rPr>
                <w:sz w:val="24"/>
              </w:rPr>
            </w:pPr>
            <w:r>
              <w:rPr>
                <w:rFonts w:hint="eastAsia"/>
                <w:sz w:val="24"/>
              </w:rPr>
              <w:t>西南</w:t>
            </w: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重庆</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0.09%</w:t>
            </w:r>
          </w:p>
        </w:tc>
      </w:tr>
      <w:tr>
        <w:tblPrEx>
          <w:tblLayout w:type="fixed"/>
          <w:tblCellMar>
            <w:top w:w="0" w:type="dxa"/>
            <w:left w:w="108" w:type="dxa"/>
            <w:bottom w:w="0" w:type="dxa"/>
            <w:right w:w="108" w:type="dxa"/>
          </w:tblCellMar>
        </w:tblPrEx>
        <w:trPr>
          <w:trHeight w:val="300" w:hRule="atLeast"/>
          <w:jc w:val="center"/>
        </w:trPr>
        <w:tc>
          <w:tcPr>
            <w:tcW w:w="1230" w:type="dxa"/>
            <w:tcBorders>
              <w:top w:val="nil"/>
              <w:left w:val="single" w:color="auto" w:sz="8" w:space="0"/>
              <w:bottom w:val="nil"/>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四川</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0.09%</w:t>
            </w:r>
          </w:p>
        </w:tc>
      </w:tr>
      <w:tr>
        <w:tblPrEx>
          <w:tblLayout w:type="fixed"/>
          <w:tblCellMar>
            <w:top w:w="0" w:type="dxa"/>
            <w:left w:w="108" w:type="dxa"/>
            <w:bottom w:w="0" w:type="dxa"/>
            <w:right w:w="108" w:type="dxa"/>
          </w:tblCellMar>
        </w:tblPrEx>
        <w:trPr>
          <w:trHeight w:val="300" w:hRule="atLeast"/>
          <w:jc w:val="center"/>
        </w:trPr>
        <w:tc>
          <w:tcPr>
            <w:tcW w:w="1230" w:type="dxa"/>
            <w:vMerge w:val="restart"/>
            <w:tcBorders>
              <w:top w:val="single" w:color="auto" w:sz="8" w:space="0"/>
              <w:left w:val="single" w:color="auto" w:sz="8" w:space="0"/>
              <w:bottom w:val="single" w:color="000000" w:sz="8" w:space="0"/>
              <w:right w:val="single" w:color="auto" w:sz="8" w:space="0"/>
            </w:tcBorders>
            <w:vAlign w:val="center"/>
          </w:tcPr>
          <w:p>
            <w:pPr>
              <w:spacing w:line="360" w:lineRule="auto"/>
              <w:jc w:val="center"/>
              <w:rPr>
                <w:sz w:val="24"/>
              </w:rPr>
            </w:pPr>
            <w:r>
              <w:rPr>
                <w:rFonts w:hint="eastAsia"/>
                <w:sz w:val="24"/>
              </w:rPr>
              <w:t>西北</w:t>
            </w: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陕西</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23</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1.03%</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left w:val="single" w:color="auto"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甘肃</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0.04%</w:t>
            </w:r>
          </w:p>
        </w:tc>
      </w:tr>
      <w:tr>
        <w:tblPrEx>
          <w:tblLayout w:type="fixed"/>
          <w:tblCellMar>
            <w:top w:w="0" w:type="dxa"/>
            <w:left w:w="108" w:type="dxa"/>
            <w:bottom w:w="0" w:type="dxa"/>
            <w:right w:w="108" w:type="dxa"/>
          </w:tblCellMar>
        </w:tblPrEx>
        <w:trPr>
          <w:trHeight w:val="300" w:hRule="atLeast"/>
          <w:jc w:val="center"/>
        </w:trPr>
        <w:tc>
          <w:tcPr>
            <w:tcW w:w="1230"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jc w:val="center"/>
              <w:rPr>
                <w:sz w:val="24"/>
              </w:rPr>
            </w:pPr>
          </w:p>
        </w:tc>
        <w:tc>
          <w:tcPr>
            <w:tcW w:w="156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新疆</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50</w:t>
            </w:r>
          </w:p>
        </w:tc>
        <w:tc>
          <w:tcPr>
            <w:tcW w:w="2097"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2.24%</w:t>
            </w:r>
          </w:p>
        </w:tc>
      </w:tr>
      <w:tr>
        <w:tblPrEx>
          <w:tblLayout w:type="fixed"/>
          <w:tblCellMar>
            <w:top w:w="0" w:type="dxa"/>
            <w:left w:w="108" w:type="dxa"/>
            <w:bottom w:w="0" w:type="dxa"/>
            <w:right w:w="108" w:type="dxa"/>
          </w:tblCellMar>
        </w:tblPrEx>
        <w:trPr>
          <w:trHeight w:val="300" w:hRule="atLeast"/>
          <w:jc w:val="center"/>
        </w:trPr>
        <w:tc>
          <w:tcPr>
            <w:tcW w:w="2790" w:type="dxa"/>
            <w:gridSpan w:val="2"/>
            <w:tcBorders>
              <w:top w:val="nil"/>
              <w:left w:val="single" w:color="auto" w:sz="8" w:space="0"/>
              <w:bottom w:val="single" w:color="auto" w:sz="8" w:space="0"/>
              <w:right w:val="single" w:color="000000" w:sz="8" w:space="0"/>
            </w:tcBorders>
            <w:vAlign w:val="center"/>
          </w:tcPr>
          <w:p>
            <w:pPr>
              <w:spacing w:line="360" w:lineRule="auto"/>
              <w:jc w:val="center"/>
              <w:rPr>
                <w:sz w:val="24"/>
              </w:rPr>
            </w:pPr>
            <w:r>
              <w:rPr>
                <w:rFonts w:hint="eastAsia"/>
                <w:sz w:val="24"/>
              </w:rPr>
              <w:t>合计</w:t>
            </w:r>
          </w:p>
        </w:tc>
        <w:tc>
          <w:tcPr>
            <w:tcW w:w="1363"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2232</w:t>
            </w:r>
          </w:p>
        </w:tc>
        <w:tc>
          <w:tcPr>
            <w:tcW w:w="2097" w:type="dxa"/>
            <w:tcBorders>
              <w:top w:val="nil"/>
              <w:left w:val="nil"/>
              <w:bottom w:val="single" w:color="auto" w:sz="8" w:space="0"/>
              <w:right w:val="single" w:color="auto" w:sz="8" w:space="0"/>
            </w:tcBorders>
            <w:vAlign w:val="center"/>
          </w:tcPr>
          <w:p>
            <w:pPr>
              <w:spacing w:line="360" w:lineRule="auto"/>
              <w:jc w:val="center"/>
              <w:rPr>
                <w:rFonts w:hint="eastAsia" w:eastAsia="宋体"/>
                <w:sz w:val="24"/>
                <w:lang w:eastAsia="zh-CN"/>
              </w:rPr>
            </w:pPr>
            <w:r>
              <w:rPr>
                <w:rFonts w:hint="eastAsia"/>
                <w:sz w:val="24"/>
                <w:lang w:eastAsia="zh-CN"/>
              </w:rPr>
              <w:t>100%</w:t>
            </w:r>
          </w:p>
        </w:tc>
      </w:tr>
    </w:tbl>
    <w:p>
      <w:pPr>
        <w:spacing w:line="360" w:lineRule="auto"/>
        <w:ind w:firstLine="560" w:firstLineChars="200"/>
      </w:pPr>
      <w:r>
        <w:rPr>
          <w:rFonts w:hint="eastAsia"/>
        </w:rPr>
        <w:t>其中，较多的省份是浙江1896人（84.95%），新疆50人（2.24%），山东39人（1.75%），黑龙江39人（1.75%），河北33人（1.48%），安徽33人（1.48%），山西20人（0.9%），吉林19人（0，85%），江西15人（0.67%），江苏13人（0.58%），福建9人（0.40%），内蒙古8人（0.36%），辽宁6人（0.27%）。</w:t>
      </w:r>
    </w:p>
    <w:p>
      <w:pPr>
        <w:spacing w:line="360" w:lineRule="auto"/>
        <w:ind w:firstLine="560" w:firstLineChars="200"/>
      </w:pPr>
      <w:r>
        <w:rPr>
          <w:rFonts w:hint="eastAsia"/>
        </w:rPr>
        <w:t>在浙江省内而言，毕业生生源地总数前五位的分别为杭州市462人（24.37%），温州市258人（13.61%），宁波市227人（11.97%），绍兴市181人（9.55%），台州市177人（9.33%）（见</w:t>
      </w:r>
      <w:r>
        <w:rPr>
          <w:rFonts w:hint="eastAsia"/>
        </w:rPr>
        <w:fldChar w:fldCharType="begin" w:fldLock="1"/>
      </w:r>
      <w:r>
        <w:rPr>
          <w:rFonts w:hint="eastAsia"/>
        </w:rPr>
        <w:instrText xml:space="preserve"> REF _Ref17084 \h </w:instrText>
      </w:r>
      <w:r>
        <w:rPr>
          <w:rFonts w:hint="eastAsia"/>
        </w:rPr>
        <w:fldChar w:fldCharType="separate"/>
      </w:r>
      <w:r>
        <w:rPr>
          <w:rFonts w:hint="eastAsia"/>
        </w:rPr>
        <w:t>表 4</w:t>
      </w:r>
      <w:r>
        <w:rPr>
          <w:rFonts w:hint="eastAsia"/>
        </w:rPr>
        <w:fldChar w:fldCharType="end"/>
      </w:r>
      <w:r>
        <w:rPr>
          <w:rFonts w:hint="eastAsia"/>
        </w:rPr>
        <w:t>）。</w:t>
      </w:r>
    </w:p>
    <w:p>
      <w:pPr>
        <w:pStyle w:val="4"/>
        <w:rPr>
          <w:rFonts w:ascii="宋体" w:hAnsi="宋体" w:cs="宋体"/>
        </w:rPr>
      </w:pPr>
      <w:bookmarkStart w:id="13" w:name="_Toc3960"/>
      <w:r>
        <w:t xml:space="preserve">表 </w:t>
      </w:r>
      <w:r>
        <w:fldChar w:fldCharType="begin"/>
      </w:r>
      <w:r>
        <w:instrText xml:space="preserve"> SEQ 表 \* ARABIC </w:instrText>
      </w:r>
      <w:r>
        <w:fldChar w:fldCharType="separate"/>
      </w:r>
      <w:r>
        <w:t>4</w:t>
      </w:r>
      <w:r>
        <w:fldChar w:fldCharType="end"/>
      </w:r>
      <w:bookmarkStart w:id="14" w:name="_Toc2121"/>
      <w:r>
        <w:rPr>
          <w:rFonts w:hint="eastAsia" w:ascii="宋体" w:hAnsi="宋体" w:cs="宋体"/>
        </w:rPr>
        <w:t xml:space="preserve"> 2018届浙江省内毕业生生源地分布情况</w:t>
      </w:r>
      <w:bookmarkEnd w:id="13"/>
      <w:bookmarkEnd w:id="14"/>
    </w:p>
    <w:tbl>
      <w:tblPr>
        <w:tblStyle w:val="8"/>
        <w:tblW w:w="5977" w:type="dxa"/>
        <w:jc w:val="center"/>
        <w:tblInd w:w="0" w:type="dxa"/>
        <w:tblLayout w:type="fixed"/>
        <w:tblCellMar>
          <w:top w:w="0" w:type="dxa"/>
          <w:left w:w="108" w:type="dxa"/>
          <w:bottom w:w="0" w:type="dxa"/>
          <w:right w:w="108" w:type="dxa"/>
        </w:tblCellMar>
      </w:tblPr>
      <w:tblGrid>
        <w:gridCol w:w="1799"/>
        <w:gridCol w:w="1843"/>
        <w:gridCol w:w="2335"/>
      </w:tblGrid>
      <w:tr>
        <w:tblPrEx>
          <w:tblLayout w:type="fixed"/>
          <w:tblCellMar>
            <w:top w:w="0" w:type="dxa"/>
            <w:left w:w="108" w:type="dxa"/>
            <w:bottom w:w="0" w:type="dxa"/>
            <w:right w:w="108" w:type="dxa"/>
          </w:tblCellMar>
        </w:tblPrEx>
        <w:trPr>
          <w:trHeight w:val="375"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b/>
                <w:sz w:val="24"/>
                <w:szCs w:val="24"/>
              </w:rPr>
            </w:pPr>
            <w:r>
              <w:rPr>
                <w:rFonts w:hint="eastAsia"/>
                <w:b/>
                <w:sz w:val="24"/>
                <w:szCs w:val="24"/>
              </w:rPr>
              <w:t>生源地</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500" w:lineRule="exact"/>
              <w:ind w:right="-70" w:rightChars="-25"/>
              <w:jc w:val="center"/>
              <w:rPr>
                <w:b/>
                <w:sz w:val="24"/>
                <w:szCs w:val="24"/>
              </w:rPr>
            </w:pPr>
            <w:r>
              <w:rPr>
                <w:rFonts w:hint="eastAsia"/>
                <w:b/>
                <w:sz w:val="24"/>
                <w:szCs w:val="24"/>
              </w:rPr>
              <w:t>人数</w:t>
            </w:r>
          </w:p>
        </w:tc>
        <w:tc>
          <w:tcPr>
            <w:tcW w:w="2335" w:type="dxa"/>
            <w:tcBorders>
              <w:top w:val="single" w:color="auto" w:sz="4" w:space="0"/>
              <w:left w:val="nil"/>
              <w:bottom w:val="single" w:color="auto" w:sz="4" w:space="0"/>
              <w:right w:val="single" w:color="auto" w:sz="4" w:space="0"/>
            </w:tcBorders>
            <w:vAlign w:val="center"/>
          </w:tcPr>
          <w:p>
            <w:pPr>
              <w:adjustRightInd w:val="0"/>
              <w:snapToGrid w:val="0"/>
              <w:spacing w:line="500" w:lineRule="exact"/>
              <w:ind w:right="-70" w:rightChars="-25"/>
              <w:jc w:val="center"/>
              <w:rPr>
                <w:b/>
                <w:sz w:val="24"/>
                <w:szCs w:val="24"/>
              </w:rPr>
            </w:pPr>
            <w:r>
              <w:rPr>
                <w:rFonts w:hint="eastAsia"/>
                <w:b/>
                <w:sz w:val="24"/>
                <w:szCs w:val="24"/>
              </w:rPr>
              <w:t>比例</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杭州市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462</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24.37%</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温州市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258</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13.61%</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宁波市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227</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11.97%</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绍兴市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181</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9.55%</w:t>
            </w:r>
          </w:p>
        </w:tc>
      </w:tr>
      <w:tr>
        <w:tblPrEx>
          <w:tblLayout w:type="fixed"/>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台州市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177</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9.33%</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金华市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150</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7.91%</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嘉兴市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141</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7.44%</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丽水市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103</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5.43%</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湖州市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93</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4.90%</w:t>
            </w:r>
          </w:p>
        </w:tc>
      </w:tr>
      <w:tr>
        <w:tblPrEx>
          <w:tblLayout w:type="fixed"/>
          <w:tblCellMar>
            <w:top w:w="0" w:type="dxa"/>
            <w:left w:w="108" w:type="dxa"/>
            <w:bottom w:w="0" w:type="dxa"/>
            <w:right w:w="108" w:type="dxa"/>
          </w:tblCellMar>
        </w:tblPrEx>
        <w:trPr>
          <w:trHeight w:val="4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衢州市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72</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3.80%</w:t>
            </w:r>
          </w:p>
        </w:tc>
      </w:tr>
      <w:tr>
        <w:tblPrEx>
          <w:tblLayout w:type="fixed"/>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舟山市</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32</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1.69%</w:t>
            </w:r>
          </w:p>
        </w:tc>
      </w:tr>
      <w:tr>
        <w:tblPrEx>
          <w:tblLayout w:type="fixed"/>
          <w:tblCellMar>
            <w:top w:w="0" w:type="dxa"/>
            <w:left w:w="108" w:type="dxa"/>
            <w:bottom w:w="0" w:type="dxa"/>
            <w:right w:w="108" w:type="dxa"/>
          </w:tblCellMar>
        </w:tblPrEx>
        <w:trPr>
          <w:trHeight w:val="375" w:hRule="atLeast"/>
          <w:jc w:val="center"/>
        </w:trPr>
        <w:tc>
          <w:tcPr>
            <w:tcW w:w="1799"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合计</w:t>
            </w:r>
          </w:p>
        </w:tc>
        <w:tc>
          <w:tcPr>
            <w:tcW w:w="1843"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sz w:val="24"/>
                <w:szCs w:val="24"/>
              </w:rPr>
            </w:pPr>
            <w:r>
              <w:rPr>
                <w:rFonts w:hint="eastAsia"/>
                <w:sz w:val="24"/>
                <w:szCs w:val="24"/>
              </w:rPr>
              <w:t>1896</w:t>
            </w:r>
          </w:p>
        </w:tc>
        <w:tc>
          <w:tcPr>
            <w:tcW w:w="2335" w:type="dxa"/>
            <w:tcBorders>
              <w:top w:val="nil"/>
              <w:left w:val="nil"/>
              <w:bottom w:val="single" w:color="auto" w:sz="4" w:space="0"/>
              <w:right w:val="single" w:color="auto" w:sz="4" w:space="0"/>
            </w:tcBorders>
            <w:vAlign w:val="center"/>
          </w:tcPr>
          <w:p>
            <w:pPr>
              <w:adjustRightInd w:val="0"/>
              <w:snapToGrid w:val="0"/>
              <w:spacing w:line="500" w:lineRule="exact"/>
              <w:ind w:right="-70" w:rightChars="-25"/>
              <w:jc w:val="center"/>
              <w:rPr>
                <w:rFonts w:hint="eastAsia" w:eastAsia="宋体"/>
                <w:sz w:val="24"/>
                <w:szCs w:val="24"/>
                <w:lang w:eastAsia="zh-CN"/>
              </w:rPr>
            </w:pPr>
            <w:r>
              <w:rPr>
                <w:rFonts w:hint="eastAsia"/>
                <w:sz w:val="24"/>
                <w:szCs w:val="24"/>
                <w:lang w:eastAsia="zh-CN"/>
              </w:rPr>
              <w:t>100%</w:t>
            </w:r>
          </w:p>
        </w:tc>
      </w:tr>
    </w:tbl>
    <w:p>
      <w:pPr>
        <w:spacing w:line="360" w:lineRule="auto"/>
        <w:ind w:firstLine="560" w:firstLineChars="200"/>
        <w:rPr>
          <w:highlight w:val="yellow"/>
        </w:rPr>
      </w:pPr>
    </w:p>
    <w:p>
      <w:pPr>
        <w:spacing w:line="360" w:lineRule="auto"/>
        <w:ind w:firstLine="562" w:firstLineChars="200"/>
        <w:rPr>
          <w:b/>
          <w:bCs/>
        </w:rPr>
      </w:pPr>
      <w:r>
        <w:rPr>
          <w:rFonts w:hint="eastAsia"/>
          <w:b/>
          <w:bCs/>
        </w:rPr>
        <w:t>4.困难生结构</w:t>
      </w:r>
    </w:p>
    <w:p>
      <w:pPr>
        <w:spacing w:line="360" w:lineRule="auto"/>
        <w:ind w:firstLine="560" w:firstLineChars="200"/>
      </w:pPr>
      <w:r>
        <w:rPr>
          <w:rFonts w:hint="eastAsia"/>
        </w:rPr>
        <w:t>困难生人数为179人，占总毕业生人数的8.02%（见</w:t>
      </w:r>
      <w:r>
        <w:rPr>
          <w:rFonts w:hint="eastAsia"/>
        </w:rPr>
        <w:fldChar w:fldCharType="begin"/>
      </w:r>
      <w:r>
        <w:rPr>
          <w:rFonts w:hint="eastAsia"/>
        </w:rPr>
        <w:instrText xml:space="preserve"> REF _Ref23537 \h </w:instrText>
      </w:r>
      <w:r>
        <w:rPr>
          <w:rFonts w:hint="eastAsia"/>
        </w:rPr>
        <w:fldChar w:fldCharType="separate"/>
      </w:r>
      <w:r>
        <w:t>表 5</w:t>
      </w:r>
      <w:r>
        <w:rPr>
          <w:rFonts w:hint="eastAsia"/>
        </w:rPr>
        <w:fldChar w:fldCharType="end"/>
      </w:r>
      <w:r>
        <w:rPr>
          <w:rFonts w:hint="eastAsia"/>
        </w:rPr>
        <w:t>）</w:t>
      </w:r>
    </w:p>
    <w:p>
      <w:pPr>
        <w:spacing w:line="360" w:lineRule="auto"/>
        <w:ind w:firstLine="562" w:firstLineChars="200"/>
        <w:jc w:val="center"/>
        <w:rPr>
          <w:b/>
        </w:rPr>
      </w:pPr>
    </w:p>
    <w:p>
      <w:pPr>
        <w:pStyle w:val="4"/>
        <w:rPr>
          <w:rFonts w:ascii="宋体" w:hAnsi="宋体" w:cs="宋体"/>
        </w:rPr>
      </w:pPr>
      <w:bookmarkStart w:id="15" w:name="_Ref23537"/>
      <w:r>
        <w:t xml:space="preserve">表 </w:t>
      </w:r>
      <w:r>
        <w:fldChar w:fldCharType="begin"/>
      </w:r>
      <w:r>
        <w:instrText xml:space="preserve"> SEQ 表 \* ARABIC </w:instrText>
      </w:r>
      <w:r>
        <w:fldChar w:fldCharType="separate"/>
      </w:r>
      <w:r>
        <w:t>5</w:t>
      </w:r>
      <w:r>
        <w:fldChar w:fldCharType="end"/>
      </w:r>
      <w:bookmarkEnd w:id="15"/>
      <w:bookmarkStart w:id="16" w:name="_Toc6275"/>
      <w:r>
        <w:rPr>
          <w:rFonts w:hint="eastAsia" w:ascii="宋体" w:hAnsi="宋体" w:cs="宋体"/>
        </w:rPr>
        <w:t xml:space="preserve"> 2018届毕业生困难生比例表</w:t>
      </w:r>
      <w:bookmarkEnd w:id="16"/>
    </w:p>
    <w:tbl>
      <w:tblPr>
        <w:tblStyle w:val="8"/>
        <w:tblW w:w="8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3025"/>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6" w:type="dxa"/>
          </w:tcPr>
          <w:p>
            <w:pPr>
              <w:spacing w:line="360" w:lineRule="auto"/>
              <w:jc w:val="center"/>
              <w:rPr>
                <w:kern w:val="0"/>
                <w:sz w:val="24"/>
                <w:szCs w:val="24"/>
              </w:rPr>
            </w:pPr>
          </w:p>
        </w:tc>
        <w:tc>
          <w:tcPr>
            <w:tcW w:w="3025" w:type="dxa"/>
          </w:tcPr>
          <w:p>
            <w:pPr>
              <w:spacing w:line="360" w:lineRule="auto"/>
              <w:jc w:val="center"/>
              <w:rPr>
                <w:kern w:val="0"/>
                <w:sz w:val="24"/>
                <w:szCs w:val="24"/>
              </w:rPr>
            </w:pPr>
            <w:r>
              <w:rPr>
                <w:rFonts w:hint="eastAsia"/>
                <w:kern w:val="0"/>
                <w:sz w:val="24"/>
                <w:szCs w:val="24"/>
              </w:rPr>
              <w:t>人数</w:t>
            </w:r>
          </w:p>
        </w:tc>
        <w:tc>
          <w:tcPr>
            <w:tcW w:w="3064" w:type="dxa"/>
          </w:tcPr>
          <w:p>
            <w:pPr>
              <w:spacing w:line="360" w:lineRule="auto"/>
              <w:jc w:val="center"/>
              <w:rPr>
                <w:kern w:val="0"/>
                <w:sz w:val="24"/>
                <w:szCs w:val="24"/>
              </w:rPr>
            </w:pPr>
            <w:r>
              <w:rPr>
                <w:rFonts w:hint="eastAsia"/>
                <w:kern w:val="0"/>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6" w:type="dxa"/>
          </w:tcPr>
          <w:p>
            <w:pPr>
              <w:spacing w:line="360" w:lineRule="auto"/>
              <w:jc w:val="center"/>
              <w:rPr>
                <w:kern w:val="0"/>
                <w:sz w:val="24"/>
                <w:szCs w:val="24"/>
              </w:rPr>
            </w:pPr>
            <w:r>
              <w:rPr>
                <w:rFonts w:hint="eastAsia"/>
                <w:kern w:val="0"/>
                <w:sz w:val="24"/>
                <w:szCs w:val="24"/>
              </w:rPr>
              <w:t>非困难生</w:t>
            </w:r>
          </w:p>
        </w:tc>
        <w:tc>
          <w:tcPr>
            <w:tcW w:w="3025" w:type="dxa"/>
          </w:tcPr>
          <w:p>
            <w:pPr>
              <w:spacing w:line="360" w:lineRule="auto"/>
              <w:jc w:val="center"/>
              <w:rPr>
                <w:kern w:val="0"/>
                <w:sz w:val="24"/>
                <w:szCs w:val="24"/>
              </w:rPr>
            </w:pPr>
            <w:r>
              <w:rPr>
                <w:rFonts w:hint="eastAsia"/>
                <w:kern w:val="0"/>
                <w:sz w:val="24"/>
                <w:szCs w:val="24"/>
              </w:rPr>
              <w:t>2053</w:t>
            </w:r>
          </w:p>
        </w:tc>
        <w:tc>
          <w:tcPr>
            <w:tcW w:w="3064" w:type="dxa"/>
          </w:tcPr>
          <w:p>
            <w:pPr>
              <w:spacing w:line="360" w:lineRule="auto"/>
              <w:jc w:val="center"/>
              <w:rPr>
                <w:kern w:val="0"/>
                <w:sz w:val="24"/>
                <w:szCs w:val="24"/>
              </w:rPr>
            </w:pPr>
            <w:r>
              <w:rPr>
                <w:rFonts w:hint="eastAsia"/>
                <w:kern w:val="0"/>
                <w:sz w:val="24"/>
                <w:szCs w:val="24"/>
              </w:rPr>
              <w:t>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6" w:type="dxa"/>
          </w:tcPr>
          <w:p>
            <w:pPr>
              <w:spacing w:line="360" w:lineRule="auto"/>
              <w:jc w:val="center"/>
              <w:rPr>
                <w:kern w:val="0"/>
                <w:sz w:val="24"/>
                <w:szCs w:val="24"/>
              </w:rPr>
            </w:pPr>
            <w:r>
              <w:rPr>
                <w:rFonts w:hint="eastAsia"/>
                <w:kern w:val="0"/>
                <w:sz w:val="24"/>
                <w:szCs w:val="24"/>
              </w:rPr>
              <w:t>困难生</w:t>
            </w:r>
          </w:p>
        </w:tc>
        <w:tc>
          <w:tcPr>
            <w:tcW w:w="3025" w:type="dxa"/>
          </w:tcPr>
          <w:p>
            <w:pPr>
              <w:spacing w:line="360" w:lineRule="auto"/>
              <w:jc w:val="center"/>
              <w:rPr>
                <w:kern w:val="0"/>
                <w:sz w:val="24"/>
                <w:szCs w:val="24"/>
              </w:rPr>
            </w:pPr>
            <w:r>
              <w:rPr>
                <w:rFonts w:hint="eastAsia"/>
                <w:kern w:val="0"/>
                <w:sz w:val="24"/>
                <w:szCs w:val="24"/>
              </w:rPr>
              <w:t>179</w:t>
            </w:r>
          </w:p>
        </w:tc>
        <w:tc>
          <w:tcPr>
            <w:tcW w:w="3064" w:type="dxa"/>
          </w:tcPr>
          <w:p>
            <w:pPr>
              <w:spacing w:line="360" w:lineRule="auto"/>
              <w:jc w:val="center"/>
              <w:rPr>
                <w:kern w:val="0"/>
                <w:sz w:val="24"/>
                <w:szCs w:val="24"/>
              </w:rPr>
            </w:pPr>
            <w:r>
              <w:rPr>
                <w:rFonts w:hint="eastAsia"/>
                <w:kern w:val="0"/>
                <w:sz w:val="24"/>
                <w:szCs w:val="24"/>
              </w:rPr>
              <w:t>8.02%</w:t>
            </w:r>
          </w:p>
        </w:tc>
      </w:tr>
    </w:tbl>
    <w:p>
      <w:pPr>
        <w:spacing w:line="360" w:lineRule="auto"/>
        <w:ind w:firstLine="560" w:firstLineChars="200"/>
      </w:pPr>
    </w:p>
    <w:p>
      <w:pPr>
        <w:keepNext/>
        <w:keepLines/>
        <w:spacing w:line="360" w:lineRule="auto"/>
        <w:ind w:firstLine="562" w:firstLineChars="200"/>
        <w:outlineLvl w:val="1"/>
        <w:rPr>
          <w:rFonts w:ascii="黑体" w:hAnsi="黑体" w:eastAsia="黑体" w:cs="黑体"/>
          <w:b/>
        </w:rPr>
      </w:pPr>
      <w:bookmarkStart w:id="17" w:name="_Toc3936_WPSOffice_Level2"/>
      <w:bookmarkStart w:id="18" w:name="_Toc13959"/>
      <w:bookmarkStart w:id="19" w:name="_Toc28973_WPSOffice_Level2"/>
      <w:r>
        <w:rPr>
          <w:rFonts w:hint="eastAsia" w:ascii="黑体" w:hAnsi="黑体" w:eastAsia="黑体" w:cs="黑体"/>
          <w:b/>
        </w:rPr>
        <w:t>（二）毕业生就业情况</w:t>
      </w:r>
      <w:bookmarkEnd w:id="17"/>
      <w:bookmarkEnd w:id="18"/>
      <w:bookmarkEnd w:id="19"/>
    </w:p>
    <w:p>
      <w:pPr>
        <w:spacing w:line="360" w:lineRule="auto"/>
        <w:ind w:firstLine="560" w:firstLineChars="200"/>
      </w:pPr>
      <w:r>
        <w:rPr>
          <w:rFonts w:hint="eastAsia"/>
        </w:rPr>
        <w:t>1.毕业生就业率</w:t>
      </w:r>
    </w:p>
    <w:p>
      <w:pPr>
        <w:spacing w:line="360" w:lineRule="auto"/>
        <w:ind w:firstLine="560" w:firstLineChars="200"/>
      </w:pPr>
      <w:r>
        <w:rPr>
          <w:rFonts w:hint="eastAsia"/>
        </w:rPr>
        <w:t>截止2018年8月31日，我院就业率为95.97%（完成就业的人数为2142人），签约率92.79%（见</w:t>
      </w:r>
      <w:r>
        <w:rPr>
          <w:rFonts w:hint="eastAsia"/>
        </w:rPr>
        <w:fldChar w:fldCharType="begin"/>
      </w:r>
      <w:r>
        <w:rPr>
          <w:rFonts w:hint="eastAsia"/>
        </w:rPr>
        <w:instrText xml:space="preserve"> REF _Ref17202 \h </w:instrText>
      </w:r>
      <w:r>
        <w:rPr>
          <w:rFonts w:hint="eastAsia"/>
        </w:rPr>
        <w:fldChar w:fldCharType="separate"/>
      </w:r>
      <w:r>
        <w:t>表 6</w:t>
      </w:r>
      <w:r>
        <w:rPr>
          <w:rFonts w:hint="eastAsia"/>
        </w:rPr>
        <w:fldChar w:fldCharType="end"/>
      </w:r>
      <w:r>
        <w:rPr>
          <w:rFonts w:hint="eastAsia"/>
        </w:rPr>
        <w:t>）。</w:t>
      </w:r>
    </w:p>
    <w:p>
      <w:pPr>
        <w:pStyle w:val="4"/>
        <w:rPr>
          <w:rFonts w:hint="eastAsia" w:ascii="宋体" w:hAnsi="宋体" w:eastAsia="宋体" w:cs="宋体"/>
          <w:lang w:eastAsia="zh-CN"/>
        </w:rPr>
      </w:pPr>
      <w:bookmarkStart w:id="20" w:name="_Ref17202"/>
      <w:r>
        <w:t xml:space="preserve">表 </w:t>
      </w:r>
      <w:r>
        <w:fldChar w:fldCharType="begin"/>
      </w:r>
      <w:r>
        <w:instrText xml:space="preserve"> SEQ 表 \* ARABIC </w:instrText>
      </w:r>
      <w:r>
        <w:fldChar w:fldCharType="separate"/>
      </w:r>
      <w:r>
        <w:t>6</w:t>
      </w:r>
      <w:r>
        <w:fldChar w:fldCharType="end"/>
      </w:r>
      <w:bookmarkEnd w:id="20"/>
      <w:bookmarkStart w:id="21" w:name="_Toc28506"/>
      <w:bookmarkStart w:id="22" w:name="_Toc1485"/>
      <w:r>
        <w:rPr>
          <w:rFonts w:hint="eastAsia" w:ascii="宋体" w:hAnsi="宋体" w:cs="宋体"/>
        </w:rPr>
        <w:t xml:space="preserve"> 2018届毕业生就业率</w:t>
      </w:r>
      <w:bookmarkEnd w:id="21"/>
      <w:bookmarkEnd w:id="22"/>
      <w:r>
        <w:rPr>
          <w:rFonts w:hint="eastAsia" w:ascii="宋体" w:hAnsi="宋体" w:cs="宋体"/>
          <w:lang w:eastAsia="zh-CN"/>
        </w:rPr>
        <w:t>、签约率</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360" w:lineRule="auto"/>
              <w:jc w:val="center"/>
              <w:rPr>
                <w:b/>
                <w:bCs/>
                <w:sz w:val="24"/>
              </w:rPr>
            </w:pPr>
            <w:r>
              <w:rPr>
                <w:rFonts w:hint="eastAsia"/>
                <w:b/>
                <w:bCs/>
                <w:sz w:val="24"/>
              </w:rPr>
              <w:t>学历</w:t>
            </w:r>
          </w:p>
        </w:tc>
        <w:tc>
          <w:tcPr>
            <w:tcW w:w="2130" w:type="dxa"/>
          </w:tcPr>
          <w:p>
            <w:pPr>
              <w:spacing w:line="360" w:lineRule="auto"/>
              <w:jc w:val="center"/>
              <w:rPr>
                <w:b/>
                <w:bCs/>
                <w:sz w:val="24"/>
              </w:rPr>
            </w:pPr>
            <w:r>
              <w:rPr>
                <w:rFonts w:hint="eastAsia"/>
                <w:b/>
                <w:bCs/>
                <w:sz w:val="24"/>
              </w:rPr>
              <w:t>毕业人数</w:t>
            </w:r>
          </w:p>
        </w:tc>
        <w:tc>
          <w:tcPr>
            <w:tcW w:w="2131" w:type="dxa"/>
          </w:tcPr>
          <w:p>
            <w:pPr>
              <w:spacing w:line="360" w:lineRule="auto"/>
              <w:jc w:val="center"/>
              <w:rPr>
                <w:b/>
                <w:bCs/>
                <w:sz w:val="24"/>
              </w:rPr>
            </w:pPr>
            <w:r>
              <w:rPr>
                <w:rFonts w:hint="eastAsia"/>
                <w:b/>
                <w:bCs/>
                <w:sz w:val="24"/>
              </w:rPr>
              <w:t>就业率</w:t>
            </w:r>
          </w:p>
        </w:tc>
        <w:tc>
          <w:tcPr>
            <w:tcW w:w="2131" w:type="dxa"/>
          </w:tcPr>
          <w:p>
            <w:pPr>
              <w:spacing w:line="360" w:lineRule="auto"/>
              <w:jc w:val="center"/>
              <w:rPr>
                <w:b/>
                <w:bCs/>
                <w:sz w:val="24"/>
              </w:rPr>
            </w:pPr>
            <w:r>
              <w:rPr>
                <w:rFonts w:hint="eastAsia"/>
                <w:b/>
                <w:bCs/>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360" w:lineRule="auto"/>
              <w:jc w:val="center"/>
              <w:rPr>
                <w:sz w:val="24"/>
              </w:rPr>
            </w:pPr>
            <w:r>
              <w:rPr>
                <w:rFonts w:hint="eastAsia"/>
                <w:sz w:val="24"/>
              </w:rPr>
              <w:t>本科</w:t>
            </w:r>
          </w:p>
        </w:tc>
        <w:tc>
          <w:tcPr>
            <w:tcW w:w="2130" w:type="dxa"/>
          </w:tcPr>
          <w:p>
            <w:pPr>
              <w:spacing w:line="360" w:lineRule="auto"/>
              <w:jc w:val="center"/>
              <w:rPr>
                <w:sz w:val="24"/>
              </w:rPr>
            </w:pPr>
            <w:r>
              <w:rPr>
                <w:rFonts w:hint="eastAsia"/>
                <w:sz w:val="24"/>
              </w:rPr>
              <w:t>2232</w:t>
            </w:r>
          </w:p>
        </w:tc>
        <w:tc>
          <w:tcPr>
            <w:tcW w:w="2131" w:type="dxa"/>
          </w:tcPr>
          <w:p>
            <w:pPr>
              <w:spacing w:line="360" w:lineRule="auto"/>
              <w:jc w:val="center"/>
              <w:rPr>
                <w:sz w:val="24"/>
              </w:rPr>
            </w:pPr>
            <w:r>
              <w:rPr>
                <w:rFonts w:hint="eastAsia"/>
                <w:sz w:val="24"/>
              </w:rPr>
              <w:t>95.97%</w:t>
            </w:r>
          </w:p>
        </w:tc>
        <w:tc>
          <w:tcPr>
            <w:tcW w:w="2131" w:type="dxa"/>
          </w:tcPr>
          <w:p>
            <w:pPr>
              <w:spacing w:line="360" w:lineRule="auto"/>
              <w:jc w:val="center"/>
              <w:rPr>
                <w:sz w:val="24"/>
              </w:rPr>
            </w:pPr>
            <w:r>
              <w:rPr>
                <w:rFonts w:hint="eastAsia"/>
                <w:sz w:val="24"/>
              </w:rPr>
              <w:t>92.79%</w:t>
            </w:r>
          </w:p>
        </w:tc>
      </w:tr>
    </w:tbl>
    <w:p>
      <w:pPr>
        <w:spacing w:line="360" w:lineRule="auto"/>
        <w:ind w:firstLine="560" w:firstLineChars="200"/>
      </w:pPr>
    </w:p>
    <w:p>
      <w:pPr>
        <w:spacing w:line="360" w:lineRule="auto"/>
        <w:ind w:firstLine="560" w:firstLineChars="200"/>
      </w:pPr>
      <w:r>
        <w:rPr>
          <w:rFonts w:hint="eastAsia"/>
        </w:rPr>
        <w:t>2.各类别学生就业率</w:t>
      </w:r>
    </w:p>
    <w:p>
      <w:pPr>
        <w:spacing w:line="360" w:lineRule="auto"/>
        <w:ind w:firstLine="560" w:firstLineChars="200"/>
      </w:pPr>
      <w:r>
        <w:rPr>
          <w:rFonts w:hint="eastAsia"/>
        </w:rPr>
        <w:t>毕业生中，男女生、汉族和少数民族学生之间就业率略有差距（见</w:t>
      </w:r>
      <w:r>
        <w:rPr>
          <w:rFonts w:hint="eastAsia"/>
        </w:rPr>
        <w:fldChar w:fldCharType="begin" w:fldLock="1"/>
      </w:r>
      <w:r>
        <w:rPr>
          <w:rFonts w:hint="eastAsia"/>
        </w:rPr>
        <w:instrText xml:space="preserve"> REF _Ref17310 \h </w:instrText>
      </w:r>
      <w:r>
        <w:rPr>
          <w:rFonts w:hint="eastAsia"/>
        </w:rPr>
        <w:fldChar w:fldCharType="separate"/>
      </w:r>
      <w:r>
        <w:rPr>
          <w:rFonts w:hint="eastAsia"/>
        </w:rPr>
        <w:t>表 7</w:t>
      </w:r>
      <w:r>
        <w:rPr>
          <w:rFonts w:hint="eastAsia"/>
        </w:rPr>
        <w:fldChar w:fldCharType="end"/>
      </w:r>
      <w:r>
        <w:rPr>
          <w:rFonts w:hint="eastAsia"/>
        </w:rPr>
        <w:t>）。</w:t>
      </w:r>
    </w:p>
    <w:p>
      <w:pPr>
        <w:pStyle w:val="4"/>
        <w:rPr>
          <w:rFonts w:ascii="宋体" w:hAnsi="宋体" w:cs="宋体"/>
        </w:rPr>
      </w:pPr>
      <w:r>
        <w:t xml:space="preserve">表 </w:t>
      </w:r>
      <w:r>
        <w:fldChar w:fldCharType="begin"/>
      </w:r>
      <w:r>
        <w:instrText xml:space="preserve"> SEQ 表 \* ARABIC </w:instrText>
      </w:r>
      <w:r>
        <w:fldChar w:fldCharType="separate"/>
      </w:r>
      <w:r>
        <w:t>7</w:t>
      </w:r>
      <w:r>
        <w:fldChar w:fldCharType="end"/>
      </w:r>
      <w:r>
        <w:rPr>
          <w:rFonts w:hint="eastAsia" w:ascii="宋体" w:hAnsi="宋体" w:cs="宋体"/>
        </w:rPr>
        <w:t xml:space="preserve"> 2018届毕业生各类别就业情况</w:t>
      </w:r>
    </w:p>
    <w:tbl>
      <w:tblPr>
        <w:tblStyle w:val="8"/>
        <w:tblW w:w="8504" w:type="dxa"/>
        <w:jc w:val="center"/>
        <w:tblInd w:w="0" w:type="dxa"/>
        <w:tblLayout w:type="fixed"/>
        <w:tblCellMar>
          <w:top w:w="0" w:type="dxa"/>
          <w:left w:w="108" w:type="dxa"/>
          <w:bottom w:w="0" w:type="dxa"/>
          <w:right w:w="108" w:type="dxa"/>
        </w:tblCellMar>
      </w:tblPr>
      <w:tblGrid>
        <w:gridCol w:w="1392"/>
        <w:gridCol w:w="1434"/>
        <w:gridCol w:w="1312"/>
        <w:gridCol w:w="1270"/>
        <w:gridCol w:w="1554"/>
        <w:gridCol w:w="1542"/>
      </w:tblGrid>
      <w:tr>
        <w:tblPrEx>
          <w:tblLayout w:type="fixed"/>
          <w:tblCellMar>
            <w:top w:w="0" w:type="dxa"/>
            <w:left w:w="108" w:type="dxa"/>
            <w:bottom w:w="0" w:type="dxa"/>
            <w:right w:w="108" w:type="dxa"/>
          </w:tblCellMar>
        </w:tblPrEx>
        <w:trPr>
          <w:trHeight w:val="506" w:hRule="atLeast"/>
          <w:jc w:val="center"/>
        </w:trPr>
        <w:tc>
          <w:tcPr>
            <w:tcW w:w="1392" w:type="dxa"/>
            <w:vMerge w:val="restart"/>
            <w:tcBorders>
              <w:top w:val="single" w:color="auto" w:sz="8" w:space="0"/>
              <w:left w:val="single" w:color="auto" w:sz="8" w:space="0"/>
              <w:bottom w:val="single" w:color="000000" w:sz="8" w:space="0"/>
              <w:right w:val="single" w:color="auto" w:sz="8" w:space="0"/>
            </w:tcBorders>
            <w:vAlign w:val="center"/>
          </w:tcPr>
          <w:p>
            <w:pPr>
              <w:spacing w:line="360" w:lineRule="auto"/>
              <w:jc w:val="center"/>
              <w:rPr>
                <w:b/>
                <w:bCs/>
                <w:sz w:val="24"/>
              </w:rPr>
            </w:pPr>
            <w:r>
              <w:rPr>
                <w:rFonts w:hint="eastAsia"/>
                <w:b/>
                <w:bCs/>
                <w:sz w:val="24"/>
              </w:rPr>
              <w:t>分类</w:t>
            </w:r>
          </w:p>
        </w:tc>
        <w:tc>
          <w:tcPr>
            <w:tcW w:w="2746" w:type="dxa"/>
            <w:gridSpan w:val="2"/>
            <w:tcBorders>
              <w:top w:val="single" w:color="auto" w:sz="8" w:space="0"/>
              <w:left w:val="nil"/>
              <w:bottom w:val="single" w:color="auto" w:sz="8" w:space="0"/>
              <w:right w:val="single" w:color="000000" w:sz="8" w:space="0"/>
            </w:tcBorders>
            <w:vAlign w:val="center"/>
          </w:tcPr>
          <w:p>
            <w:pPr>
              <w:spacing w:line="360" w:lineRule="auto"/>
              <w:jc w:val="center"/>
              <w:rPr>
                <w:b/>
                <w:bCs/>
                <w:sz w:val="24"/>
              </w:rPr>
            </w:pPr>
            <w:r>
              <w:rPr>
                <w:rFonts w:hint="eastAsia"/>
                <w:b/>
                <w:bCs/>
                <w:sz w:val="24"/>
              </w:rPr>
              <w:t>性别</w:t>
            </w:r>
          </w:p>
        </w:tc>
        <w:tc>
          <w:tcPr>
            <w:tcW w:w="2824" w:type="dxa"/>
            <w:gridSpan w:val="2"/>
            <w:tcBorders>
              <w:top w:val="single" w:color="auto" w:sz="8" w:space="0"/>
              <w:left w:val="nil"/>
              <w:bottom w:val="single" w:color="auto" w:sz="8" w:space="0"/>
              <w:right w:val="single" w:color="000000" w:sz="8" w:space="0"/>
            </w:tcBorders>
            <w:vAlign w:val="center"/>
          </w:tcPr>
          <w:p>
            <w:pPr>
              <w:spacing w:line="360" w:lineRule="auto"/>
              <w:jc w:val="center"/>
              <w:rPr>
                <w:b/>
                <w:bCs/>
                <w:sz w:val="24"/>
              </w:rPr>
            </w:pPr>
            <w:r>
              <w:rPr>
                <w:rFonts w:hint="eastAsia"/>
                <w:b/>
                <w:bCs/>
                <w:sz w:val="24"/>
              </w:rPr>
              <w:t>民族</w:t>
            </w:r>
          </w:p>
        </w:tc>
        <w:tc>
          <w:tcPr>
            <w:tcW w:w="1542" w:type="dxa"/>
            <w:vMerge w:val="restart"/>
            <w:tcBorders>
              <w:top w:val="single" w:color="auto" w:sz="8" w:space="0"/>
              <w:left w:val="nil"/>
              <w:right w:val="single" w:color="000000" w:sz="8" w:space="0"/>
            </w:tcBorders>
            <w:vAlign w:val="center"/>
          </w:tcPr>
          <w:p>
            <w:pPr>
              <w:spacing w:line="360" w:lineRule="auto"/>
              <w:jc w:val="center"/>
              <w:rPr>
                <w:rFonts w:hint="eastAsia" w:eastAsia="宋体"/>
                <w:b/>
                <w:bCs/>
                <w:sz w:val="24"/>
                <w:lang w:val="en-US" w:eastAsia="zh-CN"/>
              </w:rPr>
            </w:pPr>
            <w:r>
              <w:rPr>
                <w:rFonts w:hint="eastAsia"/>
                <w:b/>
                <w:bCs/>
                <w:sz w:val="24"/>
                <w:lang w:eastAsia="zh-CN"/>
              </w:rPr>
              <w:t>困难生</w:t>
            </w:r>
          </w:p>
        </w:tc>
      </w:tr>
      <w:tr>
        <w:tblPrEx>
          <w:tblLayout w:type="fixed"/>
          <w:tblCellMar>
            <w:top w:w="0" w:type="dxa"/>
            <w:left w:w="108" w:type="dxa"/>
            <w:bottom w:w="0" w:type="dxa"/>
            <w:right w:w="108" w:type="dxa"/>
          </w:tblCellMar>
        </w:tblPrEx>
        <w:trPr>
          <w:trHeight w:val="430" w:hRule="atLeast"/>
          <w:jc w:val="center"/>
        </w:trPr>
        <w:tc>
          <w:tcPr>
            <w:tcW w:w="1392"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jc w:val="center"/>
              <w:rPr>
                <w:b/>
                <w:bCs/>
                <w:sz w:val="24"/>
              </w:rPr>
            </w:pPr>
          </w:p>
        </w:tc>
        <w:tc>
          <w:tcPr>
            <w:tcW w:w="1434" w:type="dxa"/>
            <w:tcBorders>
              <w:top w:val="nil"/>
              <w:left w:val="nil"/>
              <w:bottom w:val="single" w:color="auto" w:sz="8" w:space="0"/>
              <w:right w:val="single" w:color="auto" w:sz="8" w:space="0"/>
            </w:tcBorders>
            <w:vAlign w:val="center"/>
          </w:tcPr>
          <w:p>
            <w:pPr>
              <w:spacing w:line="360" w:lineRule="auto"/>
              <w:jc w:val="center"/>
              <w:rPr>
                <w:b/>
                <w:bCs/>
                <w:sz w:val="24"/>
              </w:rPr>
            </w:pPr>
            <w:r>
              <w:rPr>
                <w:rFonts w:hint="eastAsia"/>
                <w:b/>
                <w:bCs/>
                <w:sz w:val="24"/>
              </w:rPr>
              <w:t>男</w:t>
            </w:r>
          </w:p>
        </w:tc>
        <w:tc>
          <w:tcPr>
            <w:tcW w:w="1312" w:type="dxa"/>
            <w:tcBorders>
              <w:top w:val="nil"/>
              <w:left w:val="nil"/>
              <w:bottom w:val="single" w:color="auto" w:sz="8" w:space="0"/>
              <w:right w:val="single" w:color="auto" w:sz="8" w:space="0"/>
            </w:tcBorders>
            <w:vAlign w:val="center"/>
          </w:tcPr>
          <w:p>
            <w:pPr>
              <w:spacing w:line="360" w:lineRule="auto"/>
              <w:jc w:val="center"/>
              <w:rPr>
                <w:b/>
                <w:bCs/>
                <w:sz w:val="24"/>
              </w:rPr>
            </w:pPr>
            <w:r>
              <w:rPr>
                <w:rFonts w:hint="eastAsia"/>
                <w:b/>
                <w:bCs/>
                <w:sz w:val="24"/>
              </w:rPr>
              <w:t>女</w:t>
            </w:r>
          </w:p>
        </w:tc>
        <w:tc>
          <w:tcPr>
            <w:tcW w:w="1270" w:type="dxa"/>
            <w:tcBorders>
              <w:top w:val="nil"/>
              <w:left w:val="nil"/>
              <w:bottom w:val="single" w:color="auto" w:sz="8" w:space="0"/>
              <w:right w:val="single" w:color="auto" w:sz="8" w:space="0"/>
            </w:tcBorders>
            <w:vAlign w:val="center"/>
          </w:tcPr>
          <w:p>
            <w:pPr>
              <w:spacing w:line="360" w:lineRule="auto"/>
              <w:jc w:val="center"/>
              <w:rPr>
                <w:b/>
                <w:bCs/>
                <w:sz w:val="24"/>
              </w:rPr>
            </w:pPr>
            <w:r>
              <w:rPr>
                <w:rFonts w:hint="eastAsia"/>
                <w:b/>
                <w:bCs/>
                <w:sz w:val="24"/>
              </w:rPr>
              <w:t>汉族</w:t>
            </w:r>
          </w:p>
        </w:tc>
        <w:tc>
          <w:tcPr>
            <w:tcW w:w="1554" w:type="dxa"/>
            <w:tcBorders>
              <w:top w:val="nil"/>
              <w:left w:val="nil"/>
              <w:bottom w:val="single" w:color="auto" w:sz="8" w:space="0"/>
              <w:right w:val="single" w:color="auto" w:sz="8" w:space="0"/>
            </w:tcBorders>
            <w:vAlign w:val="center"/>
          </w:tcPr>
          <w:p>
            <w:pPr>
              <w:spacing w:line="360" w:lineRule="auto"/>
              <w:jc w:val="center"/>
              <w:rPr>
                <w:b/>
                <w:bCs/>
                <w:sz w:val="24"/>
              </w:rPr>
            </w:pPr>
            <w:r>
              <w:rPr>
                <w:rFonts w:hint="eastAsia"/>
                <w:b/>
                <w:bCs/>
                <w:sz w:val="24"/>
              </w:rPr>
              <w:t>少数民族</w:t>
            </w:r>
          </w:p>
        </w:tc>
        <w:tc>
          <w:tcPr>
            <w:tcW w:w="1542" w:type="dxa"/>
            <w:vMerge w:val="continue"/>
            <w:tcBorders>
              <w:left w:val="nil"/>
              <w:bottom w:val="single" w:color="auto" w:sz="8" w:space="0"/>
              <w:right w:val="single" w:color="000000" w:sz="8" w:space="0"/>
            </w:tcBorders>
            <w:vAlign w:val="center"/>
          </w:tcPr>
          <w:p>
            <w:pPr>
              <w:spacing w:line="360" w:lineRule="auto"/>
              <w:jc w:val="center"/>
              <w:rPr>
                <w:b/>
                <w:bCs/>
                <w:sz w:val="24"/>
              </w:rPr>
            </w:pPr>
          </w:p>
        </w:tc>
      </w:tr>
      <w:tr>
        <w:tblPrEx>
          <w:tblLayout w:type="fixed"/>
          <w:tblCellMar>
            <w:top w:w="0" w:type="dxa"/>
            <w:left w:w="108" w:type="dxa"/>
            <w:bottom w:w="0" w:type="dxa"/>
            <w:right w:w="108" w:type="dxa"/>
          </w:tblCellMar>
        </w:tblPrEx>
        <w:trPr>
          <w:trHeight w:val="405" w:hRule="atLeast"/>
          <w:jc w:val="center"/>
        </w:trPr>
        <w:tc>
          <w:tcPr>
            <w:tcW w:w="1392" w:type="dxa"/>
            <w:tcBorders>
              <w:top w:val="nil"/>
              <w:left w:val="single" w:color="auto" w:sz="8" w:space="0"/>
              <w:bottom w:val="single" w:color="auto" w:sz="8" w:space="0"/>
              <w:right w:val="single" w:color="auto" w:sz="8" w:space="0"/>
            </w:tcBorders>
            <w:vAlign w:val="center"/>
          </w:tcPr>
          <w:p>
            <w:pPr>
              <w:spacing w:line="360" w:lineRule="auto"/>
              <w:jc w:val="center"/>
              <w:rPr>
                <w:sz w:val="24"/>
              </w:rPr>
            </w:pPr>
            <w:r>
              <w:rPr>
                <w:rFonts w:hint="eastAsia"/>
                <w:sz w:val="24"/>
              </w:rPr>
              <w:t>毕业人数</w:t>
            </w:r>
          </w:p>
        </w:tc>
        <w:tc>
          <w:tcPr>
            <w:tcW w:w="1434"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742</w:t>
            </w:r>
          </w:p>
        </w:tc>
        <w:tc>
          <w:tcPr>
            <w:tcW w:w="1312"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1490</w:t>
            </w:r>
          </w:p>
        </w:tc>
        <w:tc>
          <w:tcPr>
            <w:tcW w:w="127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2205</w:t>
            </w:r>
          </w:p>
        </w:tc>
        <w:tc>
          <w:tcPr>
            <w:tcW w:w="1554"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27</w:t>
            </w:r>
          </w:p>
        </w:tc>
        <w:tc>
          <w:tcPr>
            <w:tcW w:w="1542" w:type="dxa"/>
            <w:tcBorders>
              <w:top w:val="nil"/>
              <w:left w:val="nil"/>
              <w:bottom w:val="single" w:color="auto" w:sz="8" w:space="0"/>
              <w:right w:val="single" w:color="auto" w:sz="8" w:space="0"/>
            </w:tcBorders>
            <w:vAlign w:val="center"/>
          </w:tcPr>
          <w:p>
            <w:pPr>
              <w:spacing w:line="360" w:lineRule="auto"/>
              <w:jc w:val="center"/>
              <w:rPr>
                <w:rFonts w:hint="eastAsia" w:eastAsia="宋体"/>
                <w:sz w:val="24"/>
                <w:lang w:val="en-US" w:eastAsia="zh-CN"/>
              </w:rPr>
            </w:pPr>
            <w:r>
              <w:rPr>
                <w:rFonts w:hint="eastAsia"/>
                <w:sz w:val="24"/>
                <w:lang w:val="en-US" w:eastAsia="zh-CN"/>
              </w:rPr>
              <w:t>179</w:t>
            </w:r>
          </w:p>
        </w:tc>
      </w:tr>
      <w:tr>
        <w:tblPrEx>
          <w:tblLayout w:type="fixed"/>
          <w:tblCellMar>
            <w:top w:w="0" w:type="dxa"/>
            <w:left w:w="108" w:type="dxa"/>
            <w:bottom w:w="0" w:type="dxa"/>
            <w:right w:w="108" w:type="dxa"/>
          </w:tblCellMar>
        </w:tblPrEx>
        <w:trPr>
          <w:trHeight w:val="435" w:hRule="atLeast"/>
          <w:jc w:val="center"/>
        </w:trPr>
        <w:tc>
          <w:tcPr>
            <w:tcW w:w="1392" w:type="dxa"/>
            <w:tcBorders>
              <w:top w:val="nil"/>
              <w:left w:val="single" w:color="auto" w:sz="8" w:space="0"/>
              <w:bottom w:val="single" w:color="auto" w:sz="8" w:space="0"/>
              <w:right w:val="single" w:color="auto" w:sz="8" w:space="0"/>
            </w:tcBorders>
            <w:vAlign w:val="center"/>
          </w:tcPr>
          <w:p>
            <w:pPr>
              <w:spacing w:line="360" w:lineRule="auto"/>
              <w:jc w:val="center"/>
              <w:rPr>
                <w:sz w:val="24"/>
              </w:rPr>
            </w:pPr>
            <w:r>
              <w:rPr>
                <w:rFonts w:hint="eastAsia"/>
                <w:sz w:val="24"/>
              </w:rPr>
              <w:t>就业人数</w:t>
            </w:r>
          </w:p>
        </w:tc>
        <w:tc>
          <w:tcPr>
            <w:tcW w:w="1434"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703</w:t>
            </w:r>
          </w:p>
        </w:tc>
        <w:tc>
          <w:tcPr>
            <w:tcW w:w="1312"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1439</w:t>
            </w:r>
          </w:p>
        </w:tc>
        <w:tc>
          <w:tcPr>
            <w:tcW w:w="127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2116</w:t>
            </w:r>
          </w:p>
        </w:tc>
        <w:tc>
          <w:tcPr>
            <w:tcW w:w="1554"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26</w:t>
            </w:r>
          </w:p>
        </w:tc>
        <w:tc>
          <w:tcPr>
            <w:tcW w:w="1542" w:type="dxa"/>
            <w:tcBorders>
              <w:top w:val="nil"/>
              <w:left w:val="nil"/>
              <w:bottom w:val="single" w:color="auto" w:sz="8" w:space="0"/>
              <w:right w:val="single" w:color="auto" w:sz="8" w:space="0"/>
            </w:tcBorders>
            <w:vAlign w:val="center"/>
          </w:tcPr>
          <w:p>
            <w:pPr>
              <w:spacing w:line="360" w:lineRule="auto"/>
              <w:jc w:val="center"/>
              <w:rPr>
                <w:rFonts w:hint="eastAsia" w:eastAsia="宋体"/>
                <w:sz w:val="24"/>
                <w:lang w:val="en-US" w:eastAsia="zh-CN"/>
              </w:rPr>
            </w:pPr>
            <w:r>
              <w:rPr>
                <w:rFonts w:hint="eastAsia"/>
                <w:sz w:val="24"/>
                <w:lang w:val="en-US" w:eastAsia="zh-CN"/>
              </w:rPr>
              <w:t>172</w:t>
            </w:r>
          </w:p>
        </w:tc>
      </w:tr>
      <w:tr>
        <w:tblPrEx>
          <w:tblLayout w:type="fixed"/>
          <w:tblCellMar>
            <w:top w:w="0" w:type="dxa"/>
            <w:left w:w="108" w:type="dxa"/>
            <w:bottom w:w="0" w:type="dxa"/>
            <w:right w:w="108" w:type="dxa"/>
          </w:tblCellMar>
        </w:tblPrEx>
        <w:trPr>
          <w:trHeight w:val="390" w:hRule="atLeast"/>
          <w:jc w:val="center"/>
        </w:trPr>
        <w:tc>
          <w:tcPr>
            <w:tcW w:w="1392" w:type="dxa"/>
            <w:tcBorders>
              <w:top w:val="nil"/>
              <w:left w:val="single" w:color="auto" w:sz="8" w:space="0"/>
              <w:bottom w:val="single" w:color="auto" w:sz="8" w:space="0"/>
              <w:right w:val="single" w:color="auto" w:sz="8" w:space="0"/>
            </w:tcBorders>
            <w:vAlign w:val="center"/>
          </w:tcPr>
          <w:p>
            <w:pPr>
              <w:spacing w:line="360" w:lineRule="auto"/>
              <w:jc w:val="center"/>
              <w:rPr>
                <w:rFonts w:hint="eastAsia" w:eastAsia="宋体"/>
                <w:sz w:val="24"/>
                <w:lang w:val="en-US" w:eastAsia="zh-CN"/>
              </w:rPr>
            </w:pPr>
            <w:r>
              <w:rPr>
                <w:rFonts w:hint="eastAsia"/>
                <w:sz w:val="24"/>
              </w:rPr>
              <w:t>就业</w:t>
            </w:r>
            <w:r>
              <w:rPr>
                <w:rFonts w:hint="eastAsia"/>
                <w:sz w:val="24"/>
                <w:lang w:eastAsia="zh-CN"/>
              </w:rPr>
              <w:t>情况</w:t>
            </w:r>
          </w:p>
        </w:tc>
        <w:tc>
          <w:tcPr>
            <w:tcW w:w="1434"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94.74%</w:t>
            </w:r>
          </w:p>
        </w:tc>
        <w:tc>
          <w:tcPr>
            <w:tcW w:w="1312"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96.58%</w:t>
            </w:r>
          </w:p>
        </w:tc>
        <w:tc>
          <w:tcPr>
            <w:tcW w:w="1270"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95.96%</w:t>
            </w:r>
          </w:p>
        </w:tc>
        <w:tc>
          <w:tcPr>
            <w:tcW w:w="1554" w:type="dxa"/>
            <w:tcBorders>
              <w:top w:val="nil"/>
              <w:left w:val="nil"/>
              <w:bottom w:val="single" w:color="auto" w:sz="8" w:space="0"/>
              <w:right w:val="single" w:color="auto" w:sz="8" w:space="0"/>
            </w:tcBorders>
            <w:vAlign w:val="center"/>
          </w:tcPr>
          <w:p>
            <w:pPr>
              <w:spacing w:line="360" w:lineRule="auto"/>
              <w:jc w:val="center"/>
              <w:rPr>
                <w:sz w:val="24"/>
              </w:rPr>
            </w:pPr>
            <w:r>
              <w:rPr>
                <w:rFonts w:hint="eastAsia"/>
                <w:sz w:val="24"/>
              </w:rPr>
              <w:t>96.30%</w:t>
            </w:r>
          </w:p>
        </w:tc>
        <w:tc>
          <w:tcPr>
            <w:tcW w:w="1542" w:type="dxa"/>
            <w:tcBorders>
              <w:top w:val="nil"/>
              <w:left w:val="nil"/>
              <w:bottom w:val="single" w:color="auto" w:sz="8" w:space="0"/>
              <w:right w:val="single" w:color="auto" w:sz="8" w:space="0"/>
            </w:tcBorders>
            <w:vAlign w:val="center"/>
          </w:tcPr>
          <w:p>
            <w:pPr>
              <w:spacing w:line="360" w:lineRule="auto"/>
              <w:jc w:val="center"/>
              <w:rPr>
                <w:rFonts w:hint="eastAsia" w:eastAsia="宋体"/>
                <w:sz w:val="24"/>
                <w:lang w:val="en-US" w:eastAsia="zh-CN"/>
              </w:rPr>
            </w:pPr>
            <w:r>
              <w:rPr>
                <w:rFonts w:hint="eastAsia"/>
                <w:sz w:val="24"/>
                <w:lang w:val="en-US" w:eastAsia="zh-CN"/>
              </w:rPr>
              <w:t>96.1%</w:t>
            </w:r>
          </w:p>
        </w:tc>
      </w:tr>
    </w:tbl>
    <w:p>
      <w:pPr>
        <w:spacing w:line="360" w:lineRule="auto"/>
        <w:ind w:firstLine="560" w:firstLineChars="200"/>
      </w:pPr>
    </w:p>
    <w:p>
      <w:pPr>
        <w:spacing w:line="360" w:lineRule="auto"/>
        <w:ind w:firstLine="560" w:firstLineChars="200"/>
      </w:pPr>
      <w:r>
        <w:rPr>
          <w:rFonts w:hint="eastAsia"/>
        </w:rPr>
        <w:t>3.各专业就业率、签约率</w:t>
      </w:r>
    </w:p>
    <w:p>
      <w:pPr>
        <w:spacing w:line="360" w:lineRule="auto"/>
        <w:ind w:firstLine="560" w:firstLineChars="200"/>
      </w:pPr>
      <w:r>
        <w:rPr>
          <w:rFonts w:hint="eastAsia"/>
        </w:rPr>
        <w:t>我院2018届毕业生2232人，共涉及30个专业（方向），各专业就业率、签约率数据见</w:t>
      </w:r>
      <w:r>
        <w:rPr>
          <w:rFonts w:hint="eastAsia"/>
        </w:rPr>
        <w:fldChar w:fldCharType="begin" w:fldLock="1"/>
      </w:r>
      <w:r>
        <w:rPr>
          <w:rFonts w:hint="eastAsia"/>
        </w:rPr>
        <w:instrText xml:space="preserve"> REF _Ref17427 \h </w:instrText>
      </w:r>
      <w:r>
        <w:rPr>
          <w:rFonts w:hint="eastAsia"/>
        </w:rPr>
        <w:fldChar w:fldCharType="separate"/>
      </w:r>
      <w:r>
        <w:rPr>
          <w:rFonts w:hint="eastAsia"/>
        </w:rPr>
        <w:t>表 8</w:t>
      </w:r>
      <w:r>
        <w:rPr>
          <w:rFonts w:hint="eastAsia"/>
        </w:rPr>
        <w:fldChar w:fldCharType="end"/>
      </w:r>
      <w:r>
        <w:rPr>
          <w:rFonts w:hint="eastAsia"/>
        </w:rPr>
        <w:t>。</w:t>
      </w:r>
    </w:p>
    <w:p>
      <w:pPr>
        <w:pStyle w:val="4"/>
        <w:rPr>
          <w:rFonts w:ascii="宋体" w:hAnsi="宋体" w:cs="宋体"/>
        </w:rPr>
      </w:pPr>
      <w:r>
        <w:t xml:space="preserve">表 </w:t>
      </w:r>
      <w:r>
        <w:fldChar w:fldCharType="begin"/>
      </w:r>
      <w:r>
        <w:instrText xml:space="preserve"> SEQ 表 \* ARABIC </w:instrText>
      </w:r>
      <w:r>
        <w:fldChar w:fldCharType="separate"/>
      </w:r>
      <w:r>
        <w:t>8</w:t>
      </w:r>
      <w:r>
        <w:fldChar w:fldCharType="end"/>
      </w:r>
      <w:bookmarkStart w:id="23" w:name="_Toc2692"/>
      <w:bookmarkStart w:id="24" w:name="_Toc28574"/>
      <w:r>
        <w:rPr>
          <w:rFonts w:hint="eastAsia" w:ascii="宋体" w:hAnsi="宋体" w:cs="宋体"/>
        </w:rPr>
        <w:t xml:space="preserve"> 2018届毕业生各专业就业情况</w:t>
      </w:r>
      <w:bookmarkEnd w:id="23"/>
      <w:bookmarkEnd w:id="24"/>
    </w:p>
    <w:tbl>
      <w:tblPr>
        <w:tblStyle w:val="8"/>
        <w:tblW w:w="9311" w:type="dxa"/>
        <w:jc w:val="center"/>
        <w:tblInd w:w="0" w:type="dxa"/>
        <w:tblLayout w:type="fixed"/>
        <w:tblCellMar>
          <w:top w:w="0" w:type="dxa"/>
          <w:left w:w="108" w:type="dxa"/>
          <w:bottom w:w="0" w:type="dxa"/>
          <w:right w:w="108" w:type="dxa"/>
        </w:tblCellMar>
      </w:tblPr>
      <w:tblGrid>
        <w:gridCol w:w="1820"/>
        <w:gridCol w:w="4041"/>
        <w:gridCol w:w="1462"/>
        <w:gridCol w:w="1988"/>
      </w:tblGrid>
      <w:tr>
        <w:tblPrEx>
          <w:tblLayout w:type="fixed"/>
          <w:tblCellMar>
            <w:top w:w="0" w:type="dxa"/>
            <w:left w:w="108" w:type="dxa"/>
            <w:bottom w:w="0" w:type="dxa"/>
            <w:right w:w="108" w:type="dxa"/>
          </w:tblCellMar>
        </w:tblPrEx>
        <w:trPr>
          <w:trHeight w:val="520"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4"/>
              </w:rPr>
            </w:pPr>
            <w:bookmarkStart w:id="25" w:name="_Ref17427"/>
            <w:r>
              <w:rPr>
                <w:rFonts w:hint="eastAsia"/>
                <w:b/>
                <w:bCs/>
                <w:sz w:val="24"/>
              </w:rPr>
              <w:t>分（学）院</w:t>
            </w: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b/>
                <w:bCs/>
                <w:sz w:val="24"/>
              </w:rPr>
            </w:pPr>
            <w:r>
              <w:rPr>
                <w:rFonts w:hint="eastAsia"/>
                <w:b/>
                <w:bCs/>
                <w:sz w:val="24"/>
              </w:rPr>
              <w:t>学校专业</w:t>
            </w:r>
          </w:p>
        </w:tc>
        <w:tc>
          <w:tcPr>
            <w:tcW w:w="1462" w:type="dxa"/>
            <w:tcBorders>
              <w:top w:val="single" w:color="auto" w:sz="4" w:space="0"/>
              <w:left w:val="nil"/>
              <w:bottom w:val="single" w:color="auto" w:sz="4" w:space="0"/>
              <w:right w:val="single" w:color="auto" w:sz="4" w:space="0"/>
            </w:tcBorders>
            <w:vAlign w:val="center"/>
          </w:tcPr>
          <w:p>
            <w:pPr>
              <w:tabs>
                <w:tab w:val="left" w:pos="630"/>
              </w:tabs>
              <w:spacing w:line="360" w:lineRule="auto"/>
              <w:ind w:right="-17" w:rightChars="-6"/>
              <w:jc w:val="center"/>
              <w:rPr>
                <w:b/>
                <w:bCs/>
                <w:sz w:val="24"/>
              </w:rPr>
            </w:pPr>
            <w:r>
              <w:rPr>
                <w:rFonts w:hint="eastAsia"/>
                <w:b/>
                <w:bCs/>
                <w:sz w:val="24"/>
              </w:rPr>
              <w:t>就业率</w:t>
            </w:r>
          </w:p>
        </w:tc>
        <w:tc>
          <w:tcPr>
            <w:tcW w:w="1988" w:type="dxa"/>
            <w:tcBorders>
              <w:top w:val="single" w:color="auto" w:sz="4" w:space="0"/>
              <w:left w:val="nil"/>
              <w:bottom w:val="single" w:color="auto" w:sz="4" w:space="0"/>
              <w:right w:val="single" w:color="auto" w:sz="4" w:space="0"/>
            </w:tcBorders>
            <w:vAlign w:val="center"/>
          </w:tcPr>
          <w:p>
            <w:pPr>
              <w:spacing w:line="360" w:lineRule="auto"/>
              <w:jc w:val="center"/>
              <w:rPr>
                <w:b/>
                <w:bCs/>
                <w:sz w:val="24"/>
              </w:rPr>
            </w:pPr>
            <w:r>
              <w:rPr>
                <w:rFonts w:hint="eastAsia"/>
                <w:b/>
                <w:bCs/>
                <w:sz w:val="24"/>
              </w:rPr>
              <w:t>签约率</w:t>
            </w:r>
          </w:p>
        </w:tc>
      </w:tr>
      <w:tr>
        <w:tblPrEx>
          <w:tblLayout w:type="fixed"/>
          <w:tblCellMar>
            <w:top w:w="0" w:type="dxa"/>
            <w:left w:w="108" w:type="dxa"/>
            <w:bottom w:w="0" w:type="dxa"/>
            <w:right w:w="108" w:type="dxa"/>
          </w:tblCellMar>
        </w:tblPrEx>
        <w:trPr>
          <w:trHeight w:val="397" w:hRule="exact"/>
          <w:jc w:val="center"/>
        </w:trPr>
        <w:tc>
          <w:tcPr>
            <w:tcW w:w="1820" w:type="dxa"/>
            <w:vMerge w:val="restart"/>
            <w:tcBorders>
              <w:top w:val="nil"/>
              <w:left w:val="single" w:color="auto" w:sz="4" w:space="0"/>
              <w:right w:val="single" w:color="auto" w:sz="4" w:space="0"/>
            </w:tcBorders>
            <w:vAlign w:val="center"/>
          </w:tcPr>
          <w:p>
            <w:pPr>
              <w:spacing w:line="360" w:lineRule="auto"/>
              <w:jc w:val="center"/>
              <w:rPr>
                <w:sz w:val="24"/>
              </w:rPr>
            </w:pPr>
            <w:r>
              <w:rPr>
                <w:rFonts w:hint="eastAsia"/>
                <w:sz w:val="24"/>
              </w:rPr>
              <w:t>理工分院</w:t>
            </w: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数学与应用数学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tcPr>
          <w:p>
            <w:pPr>
              <w:spacing w:line="360" w:lineRule="auto"/>
              <w:jc w:val="left"/>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应用化学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tcPr>
          <w:p>
            <w:pPr>
              <w:spacing w:line="360" w:lineRule="auto"/>
              <w:jc w:val="left"/>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机械设计制造及其自动化</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88.31%</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87.84%</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tcPr>
          <w:p>
            <w:pPr>
              <w:spacing w:line="360" w:lineRule="auto"/>
              <w:jc w:val="left"/>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工业设计</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96.30%</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96.30%</w:t>
            </w:r>
          </w:p>
        </w:tc>
      </w:tr>
      <w:tr>
        <w:tblPrEx>
          <w:tblLayout w:type="fixed"/>
        </w:tblPrEx>
        <w:trPr>
          <w:trHeight w:val="397" w:hRule="exact"/>
          <w:jc w:val="center"/>
        </w:trPr>
        <w:tc>
          <w:tcPr>
            <w:tcW w:w="1820" w:type="dxa"/>
            <w:vMerge w:val="continue"/>
            <w:tcBorders>
              <w:left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材料成型及控制工程</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84.21%</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83.33%</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高分子材料与工程</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90.48%</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88.24%</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电子信息工程</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93.55%</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93.44%</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计算机科学与技术</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91.95%</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91.86%</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环境科学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95.12%</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94.74%</w:t>
            </w:r>
          </w:p>
        </w:tc>
      </w:tr>
      <w:tr>
        <w:tblPrEx>
          <w:tblLayout w:type="fixed"/>
          <w:tblCellMar>
            <w:top w:w="0" w:type="dxa"/>
            <w:left w:w="108" w:type="dxa"/>
            <w:bottom w:w="0" w:type="dxa"/>
            <w:right w:w="108" w:type="dxa"/>
          </w:tblCellMar>
        </w:tblPrEx>
        <w:trPr>
          <w:trHeight w:val="397" w:hRule="exact"/>
          <w:jc w:val="center"/>
        </w:trPr>
        <w:tc>
          <w:tcPr>
            <w:tcW w:w="18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p>
            <w:pPr>
              <w:spacing w:line="360" w:lineRule="auto"/>
              <w:jc w:val="center"/>
              <w:rPr>
                <w:sz w:val="24"/>
              </w:rPr>
            </w:pPr>
            <w:r>
              <w:rPr>
                <w:rFonts w:hint="eastAsia"/>
                <w:sz w:val="24"/>
              </w:rPr>
              <w:t>艺术与传媒分院</w:t>
            </w: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音乐表演</w:t>
            </w:r>
          </w:p>
        </w:tc>
        <w:tc>
          <w:tcPr>
            <w:tcW w:w="1462"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90.48%</w:t>
            </w:r>
          </w:p>
        </w:tc>
        <w:tc>
          <w:tcPr>
            <w:tcW w:w="1988"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85.58%</w:t>
            </w:r>
          </w:p>
        </w:tc>
      </w:tr>
      <w:tr>
        <w:tblPrEx>
          <w:tblLayout w:type="fixed"/>
        </w:tblPrEx>
        <w:trPr>
          <w:trHeight w:val="397" w:hRule="exact"/>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舞蹈表演</w:t>
            </w:r>
          </w:p>
        </w:tc>
        <w:tc>
          <w:tcPr>
            <w:tcW w:w="1462"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c>
          <w:tcPr>
            <w:tcW w:w="1988"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88.00%</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广播电视编导</w:t>
            </w:r>
          </w:p>
        </w:tc>
        <w:tc>
          <w:tcPr>
            <w:tcW w:w="1462"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91.30%</w:t>
            </w:r>
          </w:p>
        </w:tc>
        <w:tc>
          <w:tcPr>
            <w:tcW w:w="1988"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63.24%</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播音与主持艺术</w:t>
            </w:r>
          </w:p>
        </w:tc>
        <w:tc>
          <w:tcPr>
            <w:tcW w:w="1462"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c>
          <w:tcPr>
            <w:tcW w:w="1988"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94.60%</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播音与主持艺术(空乘与礼仪方向)</w:t>
            </w:r>
          </w:p>
        </w:tc>
        <w:tc>
          <w:tcPr>
            <w:tcW w:w="1462"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98.13%</w:t>
            </w:r>
          </w:p>
        </w:tc>
        <w:tc>
          <w:tcPr>
            <w:tcW w:w="1988"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89.72%</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动画</w:t>
            </w:r>
          </w:p>
        </w:tc>
        <w:tc>
          <w:tcPr>
            <w:tcW w:w="1462"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95.83%</w:t>
            </w:r>
          </w:p>
        </w:tc>
        <w:tc>
          <w:tcPr>
            <w:tcW w:w="1988"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91.67%</w:t>
            </w:r>
          </w:p>
        </w:tc>
      </w:tr>
      <w:tr>
        <w:tblPrEx>
          <w:tblLayout w:type="fixed"/>
          <w:tblCellMar>
            <w:top w:w="0" w:type="dxa"/>
            <w:left w:w="108" w:type="dxa"/>
            <w:bottom w:w="0" w:type="dxa"/>
            <w:right w:w="108" w:type="dxa"/>
          </w:tblCellMar>
        </w:tblPrEx>
        <w:trPr>
          <w:trHeight w:val="471" w:hRule="exact"/>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视觉传达设计</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96.61%</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70.69%</w:t>
            </w:r>
          </w:p>
        </w:tc>
      </w:tr>
      <w:tr>
        <w:tblPrEx>
          <w:tblLayout w:type="fixed"/>
        </w:tblPrEx>
        <w:trPr>
          <w:trHeight w:val="397" w:hRule="exact"/>
          <w:jc w:val="center"/>
        </w:trPr>
        <w:tc>
          <w:tcPr>
            <w:tcW w:w="1820" w:type="dxa"/>
            <w:vMerge w:val="restart"/>
            <w:tcBorders>
              <w:top w:val="single" w:color="auto" w:sz="4" w:space="0"/>
              <w:left w:val="single" w:color="auto" w:sz="4" w:space="0"/>
              <w:right w:val="single" w:color="auto" w:sz="4" w:space="0"/>
            </w:tcBorders>
            <w:vAlign w:val="center"/>
          </w:tcPr>
          <w:p>
            <w:pPr>
              <w:spacing w:line="360" w:lineRule="auto"/>
              <w:jc w:val="center"/>
              <w:rPr>
                <w:sz w:val="24"/>
              </w:rPr>
            </w:pPr>
            <w:r>
              <w:rPr>
                <w:rFonts w:hint="eastAsia"/>
                <w:sz w:val="24"/>
              </w:rPr>
              <w:t>经济与管理分院</w:t>
            </w: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经济学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92.73%</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94.23%</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市场营销</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98.36%</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98.38%</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会计学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98.44%</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98.41%</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电子商务</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95.38%</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96.77%</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旅游管理</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92.18%</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92.97%</w:t>
            </w:r>
          </w:p>
        </w:tc>
      </w:tr>
      <w:tr>
        <w:tblPrEx>
          <w:tblLayout w:type="fixed"/>
          <w:tblCellMar>
            <w:top w:w="0" w:type="dxa"/>
            <w:left w:w="108" w:type="dxa"/>
            <w:bottom w:w="0" w:type="dxa"/>
            <w:right w:w="108" w:type="dxa"/>
          </w:tblCellMar>
        </w:tblPrEx>
        <w:trPr>
          <w:trHeight w:val="397" w:hRule="exact"/>
          <w:jc w:val="center"/>
        </w:trPr>
        <w:tc>
          <w:tcPr>
            <w:tcW w:w="1820"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文法分院</w:t>
            </w: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法学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98.68%</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r>
      <w:tr>
        <w:tblPrEx>
          <w:tblLayout w:type="fixed"/>
        </w:tblPrEx>
        <w:trPr>
          <w:trHeight w:val="397" w:hRule="exact"/>
          <w:jc w:val="center"/>
        </w:trPr>
        <w:tc>
          <w:tcPr>
            <w:tcW w:w="182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社会工作</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r>
      <w:tr>
        <w:tblPrEx>
          <w:tblLayout w:type="fixed"/>
          <w:tblCellMar>
            <w:top w:w="0" w:type="dxa"/>
            <w:left w:w="108" w:type="dxa"/>
            <w:bottom w:w="0" w:type="dxa"/>
            <w:right w:w="108" w:type="dxa"/>
          </w:tblCellMar>
        </w:tblPrEx>
        <w:trPr>
          <w:trHeight w:val="397" w:hRule="exact"/>
          <w:jc w:val="center"/>
        </w:trPr>
        <w:tc>
          <w:tcPr>
            <w:tcW w:w="182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汉语言文学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96.30%</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95.83%</w:t>
            </w:r>
          </w:p>
        </w:tc>
      </w:tr>
      <w:tr>
        <w:tblPrEx>
          <w:tblLayout w:type="fixed"/>
          <w:tblCellMar>
            <w:top w:w="0" w:type="dxa"/>
            <w:left w:w="108" w:type="dxa"/>
            <w:bottom w:w="0" w:type="dxa"/>
            <w:right w:w="108" w:type="dxa"/>
          </w:tblCellMar>
        </w:tblPrEx>
        <w:trPr>
          <w:trHeight w:val="397" w:hRule="exact"/>
          <w:jc w:val="center"/>
        </w:trPr>
        <w:tc>
          <w:tcPr>
            <w:tcW w:w="1820" w:type="dxa"/>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外国语分院</w:t>
            </w: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英语</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96.07%</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94.90%</w:t>
            </w:r>
          </w:p>
        </w:tc>
      </w:tr>
      <w:tr>
        <w:tblPrEx>
          <w:tblLayout w:type="fixed"/>
          <w:tblCellMar>
            <w:top w:w="0" w:type="dxa"/>
            <w:left w:w="108" w:type="dxa"/>
            <w:bottom w:w="0" w:type="dxa"/>
            <w:right w:w="108" w:type="dxa"/>
          </w:tblCellMar>
        </w:tblPrEx>
        <w:trPr>
          <w:trHeight w:val="397" w:hRule="exact"/>
          <w:jc w:val="center"/>
        </w:trPr>
        <w:tc>
          <w:tcPr>
            <w:tcW w:w="1820" w:type="dxa"/>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护理分院</w:t>
            </w: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护理学</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r>
      <w:tr>
        <w:tblPrEx>
          <w:tblLayout w:type="fixed"/>
          <w:tblCellMar>
            <w:top w:w="0" w:type="dxa"/>
            <w:left w:w="108" w:type="dxa"/>
            <w:bottom w:w="0" w:type="dxa"/>
            <w:right w:w="108" w:type="dxa"/>
          </w:tblCellMar>
        </w:tblPrEx>
        <w:trPr>
          <w:trHeight w:val="397" w:hRule="exact"/>
          <w:jc w:val="center"/>
        </w:trPr>
        <w:tc>
          <w:tcPr>
            <w:tcW w:w="1820" w:type="dxa"/>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体育分院</w:t>
            </w:r>
          </w:p>
        </w:tc>
        <w:tc>
          <w:tcPr>
            <w:tcW w:w="4041"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社会体育指导与管理</w:t>
            </w:r>
          </w:p>
        </w:tc>
        <w:tc>
          <w:tcPr>
            <w:tcW w:w="1462"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100%</w:t>
            </w:r>
          </w:p>
        </w:tc>
        <w:tc>
          <w:tcPr>
            <w:tcW w:w="1988"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98.86%</w:t>
            </w:r>
          </w:p>
        </w:tc>
      </w:tr>
      <w:tr>
        <w:tblPrEx>
          <w:tblLayout w:type="fixed"/>
          <w:tblCellMar>
            <w:top w:w="0" w:type="dxa"/>
            <w:left w:w="108" w:type="dxa"/>
            <w:bottom w:w="0" w:type="dxa"/>
            <w:right w:w="108" w:type="dxa"/>
          </w:tblCellMar>
        </w:tblPrEx>
        <w:trPr>
          <w:trHeight w:val="270" w:hRule="atLeast"/>
          <w:jc w:val="center"/>
        </w:trPr>
        <w:tc>
          <w:tcPr>
            <w:tcW w:w="58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合计</w:t>
            </w:r>
          </w:p>
        </w:tc>
        <w:tc>
          <w:tcPr>
            <w:tcW w:w="14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95.97%</w:t>
            </w:r>
          </w:p>
        </w:tc>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92.79%</w:t>
            </w:r>
          </w:p>
        </w:tc>
      </w:tr>
      <w:bookmarkEnd w:id="25"/>
    </w:tbl>
    <w:p>
      <w:pPr>
        <w:spacing w:line="360" w:lineRule="auto"/>
        <w:ind w:firstLine="562" w:firstLineChars="200"/>
        <w:outlineLvl w:val="1"/>
        <w:rPr>
          <w:rFonts w:ascii="黑体" w:hAnsi="黑体" w:eastAsia="黑体" w:cs="黑体"/>
          <w:b/>
          <w:bCs/>
        </w:rPr>
      </w:pPr>
      <w:bookmarkStart w:id="26" w:name="_Toc22921"/>
      <w:bookmarkStart w:id="27" w:name="_Toc25776_WPSOffice_Level2"/>
      <w:bookmarkStart w:id="28" w:name="_Toc11547_WPSOffice_Level2"/>
      <w:r>
        <w:rPr>
          <w:rFonts w:hint="eastAsia" w:ascii="黑体" w:hAnsi="黑体" w:eastAsia="黑体" w:cs="黑体"/>
          <w:b/>
          <w:bCs/>
        </w:rPr>
        <w:t>（三）毕业生就业流向</w:t>
      </w:r>
      <w:bookmarkEnd w:id="26"/>
      <w:bookmarkEnd w:id="27"/>
      <w:bookmarkEnd w:id="28"/>
    </w:p>
    <w:p>
      <w:pPr>
        <w:spacing w:line="360" w:lineRule="auto"/>
        <w:ind w:firstLine="560" w:firstLineChars="200"/>
      </w:pPr>
      <w:r>
        <w:rPr>
          <w:rFonts w:hint="eastAsia"/>
        </w:rPr>
        <w:t>1.行业流向</w:t>
      </w:r>
    </w:p>
    <w:p>
      <w:pPr>
        <w:spacing w:line="360" w:lineRule="auto"/>
        <w:ind w:firstLine="560" w:firstLineChars="200"/>
      </w:pPr>
      <w:r>
        <w:rPr>
          <w:rFonts w:hint="eastAsia"/>
        </w:rPr>
        <w:t>在已就业的</w:t>
      </w:r>
      <w:r>
        <w:rPr>
          <w:rFonts w:hint="eastAsia"/>
          <w:lang w:val="en-US" w:eastAsia="zh-CN"/>
        </w:rPr>
        <w:t>2142</w:t>
      </w:r>
      <w:r>
        <w:rPr>
          <w:rFonts w:hint="eastAsia"/>
        </w:rPr>
        <w:t>人中，升学和出国144人，考取公务员</w:t>
      </w:r>
      <w:r>
        <w:rPr>
          <w:rFonts w:hint="eastAsia"/>
          <w:lang w:val="en-US" w:eastAsia="zh-CN"/>
        </w:rPr>
        <w:t>21</w:t>
      </w:r>
      <w:r>
        <w:rPr>
          <w:rFonts w:hint="eastAsia"/>
        </w:rPr>
        <w:t>人，在教育单位、医疗卫生单位和其他事业单位就业</w:t>
      </w:r>
      <w:r>
        <w:rPr>
          <w:rFonts w:hint="eastAsia"/>
          <w:lang w:val="en-US" w:eastAsia="zh-CN"/>
        </w:rPr>
        <w:t>322</w:t>
      </w:r>
      <w:r>
        <w:rPr>
          <w:rFonts w:hint="eastAsia"/>
        </w:rPr>
        <w:t>人，企业就业</w:t>
      </w:r>
      <w:r>
        <w:rPr>
          <w:rFonts w:hint="eastAsia"/>
          <w:lang w:val="en-US" w:eastAsia="zh-CN"/>
        </w:rPr>
        <w:t>1460</w:t>
      </w:r>
      <w:r>
        <w:rPr>
          <w:rFonts w:hint="eastAsia"/>
        </w:rPr>
        <w:t>人，自主创业8人，自由职业</w:t>
      </w:r>
      <w:r>
        <w:rPr>
          <w:rFonts w:hint="eastAsia"/>
          <w:lang w:val="en-US" w:eastAsia="zh-CN"/>
        </w:rPr>
        <w:t>7</w:t>
      </w:r>
      <w:r>
        <w:rPr>
          <w:rFonts w:hint="eastAsia"/>
        </w:rPr>
        <w:t>1人，其他</w:t>
      </w:r>
      <w:r>
        <w:rPr>
          <w:rFonts w:hint="eastAsia"/>
          <w:lang w:eastAsia="zh-CN"/>
        </w:rPr>
        <w:t>形式就业</w:t>
      </w:r>
      <w:r>
        <w:rPr>
          <w:rFonts w:hint="eastAsia"/>
          <w:lang w:val="en-US" w:eastAsia="zh-CN"/>
        </w:rPr>
        <w:t>116</w:t>
      </w:r>
      <w:r>
        <w:rPr>
          <w:rFonts w:hint="eastAsia"/>
        </w:rPr>
        <w:t>人（见</w:t>
      </w:r>
      <w:r>
        <w:rPr>
          <w:rFonts w:hint="eastAsia"/>
        </w:rPr>
        <w:fldChar w:fldCharType="begin" w:fldLock="1"/>
      </w:r>
      <w:r>
        <w:rPr>
          <w:rFonts w:hint="eastAsia"/>
        </w:rPr>
        <w:instrText xml:space="preserve"> REF _Ref17669 \h </w:instrText>
      </w:r>
      <w:r>
        <w:rPr>
          <w:rFonts w:hint="eastAsia"/>
        </w:rPr>
        <w:fldChar w:fldCharType="separate"/>
      </w:r>
      <w:r>
        <w:rPr>
          <w:rFonts w:hint="eastAsia"/>
        </w:rPr>
        <w:t>表 9</w:t>
      </w:r>
      <w:r>
        <w:rPr>
          <w:rFonts w:hint="eastAsia"/>
        </w:rPr>
        <w:fldChar w:fldCharType="end"/>
      </w:r>
      <w:r>
        <w:rPr>
          <w:rFonts w:hint="eastAsia"/>
        </w:rPr>
        <w:t>）。</w:t>
      </w:r>
    </w:p>
    <w:p>
      <w:pPr>
        <w:pStyle w:val="4"/>
        <w:rPr>
          <w:rFonts w:ascii="宋体" w:hAnsi="宋体" w:cs="宋体"/>
        </w:rPr>
      </w:pPr>
      <w:bookmarkStart w:id="29" w:name="_Toc28667"/>
      <w:bookmarkStart w:id="30" w:name="_Toc10460"/>
      <w:r>
        <w:t xml:space="preserve">表 </w:t>
      </w:r>
      <w:r>
        <w:fldChar w:fldCharType="begin"/>
      </w:r>
      <w:r>
        <w:instrText xml:space="preserve"> SEQ 表 \* ARABIC </w:instrText>
      </w:r>
      <w:r>
        <w:fldChar w:fldCharType="separate"/>
      </w:r>
      <w:r>
        <w:t>9</w:t>
      </w:r>
      <w:r>
        <w:fldChar w:fldCharType="end"/>
      </w:r>
      <w:r>
        <w:rPr>
          <w:rFonts w:hint="eastAsia"/>
        </w:rPr>
        <w:t xml:space="preserve"> </w:t>
      </w:r>
      <w:r>
        <w:rPr>
          <w:rFonts w:hint="eastAsia" w:ascii="宋体" w:hAnsi="宋体" w:cs="宋体"/>
        </w:rPr>
        <w:t>2018届毕业生就业行业流向数据</w:t>
      </w:r>
      <w:bookmarkEnd w:id="29"/>
      <w:bookmarkEnd w:id="30"/>
    </w:p>
    <w:tbl>
      <w:tblPr>
        <w:tblStyle w:val="8"/>
        <w:tblW w:w="7684" w:type="dxa"/>
        <w:jc w:val="center"/>
        <w:tblInd w:w="0" w:type="dxa"/>
        <w:tblLayout w:type="fixed"/>
        <w:tblCellMar>
          <w:top w:w="0" w:type="dxa"/>
          <w:left w:w="108" w:type="dxa"/>
          <w:bottom w:w="0" w:type="dxa"/>
          <w:right w:w="108" w:type="dxa"/>
        </w:tblCellMar>
      </w:tblPr>
      <w:tblGrid>
        <w:gridCol w:w="3402"/>
        <w:gridCol w:w="1418"/>
        <w:gridCol w:w="2864"/>
      </w:tblGrid>
      <w:tr>
        <w:tblPrEx>
          <w:tblLayout w:type="fixed"/>
          <w:tblCellMar>
            <w:top w:w="0" w:type="dxa"/>
            <w:left w:w="108" w:type="dxa"/>
            <w:bottom w:w="0" w:type="dxa"/>
            <w:right w:w="108" w:type="dxa"/>
          </w:tblCellMar>
        </w:tblPrEx>
        <w:trPr>
          <w:trHeight w:val="375" w:hRule="atLeast"/>
          <w:jc w:val="center"/>
        </w:trPr>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b/>
                <w:sz w:val="24"/>
                <w:szCs w:val="24"/>
              </w:rPr>
            </w:pPr>
            <w:r>
              <w:rPr>
                <w:rFonts w:hint="eastAsia"/>
                <w:b/>
                <w:sz w:val="24"/>
                <w:szCs w:val="24"/>
              </w:rPr>
              <w:t>行业流向</w:t>
            </w:r>
          </w:p>
        </w:tc>
        <w:tc>
          <w:tcPr>
            <w:tcW w:w="1418"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b/>
                <w:sz w:val="24"/>
                <w:szCs w:val="24"/>
              </w:rPr>
            </w:pPr>
            <w:r>
              <w:rPr>
                <w:rFonts w:hint="eastAsia"/>
                <w:b/>
                <w:sz w:val="24"/>
                <w:szCs w:val="24"/>
              </w:rPr>
              <w:t>人数</w:t>
            </w:r>
          </w:p>
        </w:tc>
        <w:tc>
          <w:tcPr>
            <w:tcW w:w="2864"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b/>
                <w:sz w:val="24"/>
                <w:szCs w:val="24"/>
              </w:rPr>
            </w:pPr>
            <w:r>
              <w:rPr>
                <w:rFonts w:hint="eastAsia"/>
                <w:b/>
                <w:sz w:val="24"/>
                <w:szCs w:val="24"/>
              </w:rPr>
              <w:t>占已就业总人数的比例</w:t>
            </w:r>
          </w:p>
        </w:tc>
      </w:tr>
      <w:tr>
        <w:tblPrEx>
          <w:tblLayout w:type="fixed"/>
          <w:tblCellMar>
            <w:top w:w="0" w:type="dxa"/>
            <w:left w:w="108" w:type="dxa"/>
            <w:bottom w:w="0" w:type="dxa"/>
            <w:right w:w="108" w:type="dxa"/>
          </w:tblCellMar>
        </w:tblPrEx>
        <w:trPr>
          <w:trHeight w:val="360" w:hRule="atLeast"/>
          <w:jc w:val="center"/>
        </w:trPr>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考取公务员</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21</w:t>
            </w:r>
          </w:p>
        </w:tc>
        <w:tc>
          <w:tcPr>
            <w:tcW w:w="2864"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0.</w:t>
            </w:r>
            <w:r>
              <w:rPr>
                <w:rFonts w:hint="eastAsia"/>
                <w:sz w:val="24"/>
                <w:szCs w:val="24"/>
                <w:lang w:val="en-US" w:eastAsia="zh-CN"/>
              </w:rPr>
              <w:t>94</w:t>
            </w:r>
            <w:r>
              <w:rPr>
                <w:rFonts w:hint="eastAsia"/>
                <w:sz w:val="24"/>
                <w:szCs w:val="24"/>
              </w:rPr>
              <w:t>%</w:t>
            </w:r>
          </w:p>
        </w:tc>
      </w:tr>
      <w:tr>
        <w:tblPrEx>
          <w:tblLayout w:type="fixed"/>
          <w:tblCellMar>
            <w:top w:w="0" w:type="dxa"/>
            <w:left w:w="108" w:type="dxa"/>
            <w:bottom w:w="0" w:type="dxa"/>
            <w:right w:w="108" w:type="dxa"/>
          </w:tblCellMar>
        </w:tblPrEx>
        <w:trPr>
          <w:trHeight w:val="390"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教育、医疗等事业单位</w:t>
            </w:r>
          </w:p>
        </w:tc>
        <w:tc>
          <w:tcPr>
            <w:tcW w:w="1418" w:type="dxa"/>
            <w:tcBorders>
              <w:top w:val="nil"/>
              <w:left w:val="nil"/>
              <w:bottom w:val="single" w:color="auto" w:sz="4" w:space="0"/>
              <w:right w:val="single" w:color="auto" w:sz="4" w:space="0"/>
            </w:tcBorders>
            <w:vAlign w:val="center"/>
          </w:tcPr>
          <w:p>
            <w:pPr>
              <w:jc w:val="center"/>
              <w:rPr>
                <w:sz w:val="24"/>
                <w:szCs w:val="24"/>
                <w:lang w:val="en-US"/>
              </w:rPr>
            </w:pPr>
            <w:r>
              <w:rPr>
                <w:rFonts w:hint="eastAsia"/>
                <w:sz w:val="24"/>
                <w:szCs w:val="24"/>
              </w:rPr>
              <w:t>3</w:t>
            </w:r>
            <w:r>
              <w:rPr>
                <w:rFonts w:hint="eastAsia"/>
                <w:sz w:val="24"/>
                <w:szCs w:val="24"/>
                <w:lang w:val="en-US" w:eastAsia="zh-CN"/>
              </w:rPr>
              <w:t>22</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1</w:t>
            </w:r>
            <w:r>
              <w:rPr>
                <w:rFonts w:hint="eastAsia"/>
                <w:sz w:val="24"/>
                <w:szCs w:val="24"/>
                <w:lang w:val="en-US" w:eastAsia="zh-CN"/>
              </w:rPr>
              <w:t>4.43</w:t>
            </w:r>
            <w:r>
              <w:rPr>
                <w:rFonts w:hint="eastAsia"/>
                <w:sz w:val="24"/>
                <w:szCs w:val="24"/>
              </w:rPr>
              <w:t>%</w:t>
            </w:r>
          </w:p>
        </w:tc>
      </w:tr>
      <w:tr>
        <w:tblPrEx>
          <w:tblLayout w:type="fixed"/>
          <w:tblCellMar>
            <w:top w:w="0" w:type="dxa"/>
            <w:left w:w="108" w:type="dxa"/>
            <w:bottom w:w="0" w:type="dxa"/>
            <w:right w:w="108" w:type="dxa"/>
          </w:tblCellMar>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企业</w:t>
            </w:r>
          </w:p>
        </w:tc>
        <w:tc>
          <w:tcPr>
            <w:tcW w:w="1418" w:type="dxa"/>
            <w:tcBorders>
              <w:top w:val="nil"/>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rPr>
              <w:t>14</w:t>
            </w:r>
            <w:r>
              <w:rPr>
                <w:rFonts w:hint="eastAsia"/>
                <w:sz w:val="24"/>
                <w:szCs w:val="24"/>
                <w:lang w:val="en-US" w:eastAsia="zh-CN"/>
              </w:rPr>
              <w:t>60</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6</w:t>
            </w:r>
            <w:r>
              <w:rPr>
                <w:rFonts w:hint="eastAsia"/>
                <w:sz w:val="24"/>
                <w:szCs w:val="24"/>
                <w:lang w:val="en-US" w:eastAsia="zh-CN"/>
              </w:rPr>
              <w:t>5.4</w:t>
            </w:r>
            <w:r>
              <w:rPr>
                <w:rFonts w:hint="eastAsia"/>
                <w:sz w:val="24"/>
                <w:szCs w:val="24"/>
              </w:rPr>
              <w:t>1%</w:t>
            </w:r>
          </w:p>
        </w:tc>
      </w:tr>
      <w:tr>
        <w:tblPrEx>
          <w:tblLayout w:type="fixed"/>
          <w:tblCellMar>
            <w:top w:w="0" w:type="dxa"/>
            <w:left w:w="108" w:type="dxa"/>
            <w:bottom w:w="0" w:type="dxa"/>
            <w:right w:w="108" w:type="dxa"/>
          </w:tblCellMar>
        </w:tblPrEx>
        <w:trPr>
          <w:trHeight w:val="43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国家（地方）基层项目</w:t>
            </w:r>
          </w:p>
        </w:tc>
        <w:tc>
          <w:tcPr>
            <w:tcW w:w="1418"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0</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0%</w:t>
            </w:r>
          </w:p>
        </w:tc>
      </w:tr>
      <w:tr>
        <w:tblPrEx>
          <w:tblLayout w:type="fixed"/>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升学</w:t>
            </w:r>
          </w:p>
        </w:tc>
        <w:tc>
          <w:tcPr>
            <w:tcW w:w="1418"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116</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5.20%</w:t>
            </w:r>
          </w:p>
        </w:tc>
      </w:tr>
      <w:tr>
        <w:tblPrEx>
          <w:tblLayout w:type="fixed"/>
          <w:tblCellMar>
            <w:top w:w="0" w:type="dxa"/>
            <w:left w:w="108" w:type="dxa"/>
            <w:bottom w:w="0" w:type="dxa"/>
            <w:right w:w="108" w:type="dxa"/>
          </w:tblCellMar>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出国出境</w:t>
            </w:r>
          </w:p>
        </w:tc>
        <w:tc>
          <w:tcPr>
            <w:tcW w:w="1418"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28</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1.25%</w:t>
            </w:r>
          </w:p>
        </w:tc>
      </w:tr>
      <w:tr>
        <w:tblPrEx>
          <w:tblLayout w:type="fixed"/>
          <w:tblCellMar>
            <w:top w:w="0" w:type="dxa"/>
            <w:left w:w="108" w:type="dxa"/>
            <w:bottom w:w="0" w:type="dxa"/>
            <w:right w:w="108" w:type="dxa"/>
          </w:tblCellMar>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自主创业</w:t>
            </w:r>
          </w:p>
        </w:tc>
        <w:tc>
          <w:tcPr>
            <w:tcW w:w="1418"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8</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0.36%</w:t>
            </w:r>
          </w:p>
        </w:tc>
      </w:tr>
      <w:tr>
        <w:tblPrEx>
          <w:tblLayout w:type="fixed"/>
          <w:tblCellMar>
            <w:top w:w="0" w:type="dxa"/>
            <w:left w:w="108" w:type="dxa"/>
            <w:bottom w:w="0" w:type="dxa"/>
            <w:right w:w="108" w:type="dxa"/>
          </w:tblCellMar>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自由职业</w:t>
            </w:r>
          </w:p>
        </w:tc>
        <w:tc>
          <w:tcPr>
            <w:tcW w:w="1418"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71</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3.18%</w:t>
            </w:r>
          </w:p>
        </w:tc>
      </w:tr>
      <w:tr>
        <w:tblPrEx>
          <w:tblLayout w:type="fixed"/>
          <w:tblCellMar>
            <w:top w:w="0" w:type="dxa"/>
            <w:left w:w="108" w:type="dxa"/>
            <w:bottom w:w="0" w:type="dxa"/>
            <w:right w:w="108" w:type="dxa"/>
          </w:tblCellMar>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其他就业形式</w:t>
            </w:r>
          </w:p>
        </w:tc>
        <w:tc>
          <w:tcPr>
            <w:tcW w:w="1418"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116</w:t>
            </w:r>
          </w:p>
        </w:tc>
        <w:tc>
          <w:tcPr>
            <w:tcW w:w="2864"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5.19%</w:t>
            </w:r>
          </w:p>
        </w:tc>
      </w:tr>
      <w:tr>
        <w:tblPrEx>
          <w:tblLayout w:type="fixed"/>
          <w:tblCellMar>
            <w:top w:w="0" w:type="dxa"/>
            <w:left w:w="108" w:type="dxa"/>
            <w:bottom w:w="0" w:type="dxa"/>
            <w:right w:w="108" w:type="dxa"/>
          </w:tblCellMar>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待就业</w:t>
            </w:r>
          </w:p>
        </w:tc>
        <w:tc>
          <w:tcPr>
            <w:tcW w:w="1418" w:type="dxa"/>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90</w:t>
            </w:r>
          </w:p>
        </w:tc>
        <w:tc>
          <w:tcPr>
            <w:tcW w:w="2864" w:type="dxa"/>
            <w:tcBorders>
              <w:top w:val="nil"/>
              <w:left w:val="nil"/>
              <w:bottom w:val="single" w:color="auto" w:sz="4" w:space="0"/>
              <w:right w:val="single" w:color="auto" w:sz="4" w:space="0"/>
            </w:tcBorders>
            <w:vAlign w:val="center"/>
          </w:tcPr>
          <w:p>
            <w:pPr>
              <w:jc w:val="center"/>
              <w:rPr>
                <w:sz w:val="24"/>
                <w:szCs w:val="24"/>
                <w:shd w:val="clear" w:color="FFFFFF" w:fill="D9D9D9"/>
              </w:rPr>
            </w:pPr>
            <w:r>
              <w:rPr>
                <w:rFonts w:hint="eastAsia"/>
                <w:sz w:val="24"/>
                <w:szCs w:val="24"/>
              </w:rPr>
              <w:t>4.03%</w:t>
            </w:r>
          </w:p>
        </w:tc>
      </w:tr>
      <w:tr>
        <w:tblPrEx>
          <w:tblLayout w:type="fixed"/>
        </w:tblPrEx>
        <w:trPr>
          <w:trHeight w:val="375" w:hRule="atLeast"/>
          <w:jc w:val="center"/>
        </w:trPr>
        <w:tc>
          <w:tcPr>
            <w:tcW w:w="3402" w:type="dxa"/>
            <w:tcBorders>
              <w:top w:val="nil"/>
              <w:left w:val="single" w:color="auto" w:sz="4" w:space="0"/>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合计</w:t>
            </w:r>
          </w:p>
        </w:tc>
        <w:tc>
          <w:tcPr>
            <w:tcW w:w="1418" w:type="dxa"/>
            <w:tcBorders>
              <w:top w:val="nil"/>
              <w:left w:val="nil"/>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2232</w:t>
            </w:r>
          </w:p>
        </w:tc>
        <w:tc>
          <w:tcPr>
            <w:tcW w:w="2864" w:type="dxa"/>
            <w:tcBorders>
              <w:top w:val="nil"/>
              <w:left w:val="nil"/>
              <w:bottom w:val="single" w:color="auto" w:sz="4" w:space="0"/>
              <w:right w:val="single" w:color="auto" w:sz="4" w:space="0"/>
            </w:tcBorders>
            <w:vAlign w:val="center"/>
          </w:tcPr>
          <w:p>
            <w:pPr>
              <w:adjustRightInd w:val="0"/>
              <w:snapToGrid w:val="0"/>
              <w:spacing w:line="500" w:lineRule="exact"/>
              <w:jc w:val="center"/>
              <w:rPr>
                <w:sz w:val="24"/>
                <w:szCs w:val="24"/>
              </w:rPr>
            </w:pPr>
            <w:r>
              <w:rPr>
                <w:rFonts w:hint="eastAsia"/>
                <w:sz w:val="24"/>
                <w:szCs w:val="24"/>
              </w:rPr>
              <w:t>100%</w:t>
            </w:r>
          </w:p>
        </w:tc>
      </w:tr>
    </w:tbl>
    <w:p>
      <w:pPr>
        <w:spacing w:line="360" w:lineRule="auto"/>
        <w:ind w:firstLine="560" w:firstLineChars="200"/>
      </w:pPr>
    </w:p>
    <w:p>
      <w:pPr>
        <w:spacing w:line="360" w:lineRule="auto"/>
        <w:ind w:firstLine="560" w:firstLineChars="200"/>
      </w:pPr>
      <w:r>
        <w:rPr>
          <w:rFonts w:hint="eastAsia"/>
        </w:rPr>
        <w:t>2.地区流向</w:t>
      </w:r>
    </w:p>
    <w:p>
      <w:pPr>
        <w:adjustRightInd w:val="0"/>
        <w:snapToGrid w:val="0"/>
        <w:spacing w:line="500" w:lineRule="exact"/>
        <w:ind w:firstLine="560" w:firstLineChars="200"/>
        <w:rPr>
          <w:rFonts w:hint="eastAsia"/>
        </w:rPr>
      </w:pPr>
      <w:r>
        <w:rPr>
          <w:rFonts w:hint="eastAsia"/>
        </w:rPr>
        <w:t>2018届毕业生就业地区流向涵盖了25个省（直辖市），详细数据见</w:t>
      </w:r>
      <w:r>
        <w:rPr>
          <w:rFonts w:hint="eastAsia"/>
          <w:lang w:eastAsia="zh-CN"/>
        </w:rPr>
        <w:fldChar w:fldCharType="begin"/>
      </w:r>
      <w:r>
        <w:rPr>
          <w:rFonts w:hint="eastAsia"/>
          <w:lang w:eastAsia="zh-CN"/>
        </w:rPr>
        <w:instrText xml:space="preserve"> REF _Ref22055 \h </w:instrText>
      </w:r>
      <w:r>
        <w:rPr>
          <w:rFonts w:hint="eastAsia"/>
          <w:lang w:eastAsia="zh-CN"/>
        </w:rPr>
        <w:fldChar w:fldCharType="separate"/>
      </w:r>
      <w:r>
        <w:t>表 10</w:t>
      </w:r>
      <w:r>
        <w:rPr>
          <w:rFonts w:hint="eastAsia"/>
          <w:lang w:eastAsia="zh-CN"/>
        </w:rPr>
        <w:fldChar w:fldCharType="end"/>
      </w:r>
      <w:r>
        <w:rPr>
          <w:rFonts w:hint="eastAsia"/>
        </w:rPr>
        <w:t>、</w:t>
      </w:r>
      <w:r>
        <w:rPr>
          <w:rFonts w:hint="eastAsia"/>
        </w:rPr>
        <w:fldChar w:fldCharType="begin" w:fldLock="1"/>
      </w:r>
      <w:r>
        <w:rPr>
          <w:rFonts w:hint="eastAsia"/>
        </w:rPr>
        <w:instrText xml:space="preserve"> REF _Ref17825 \h </w:instrText>
      </w:r>
      <w:r>
        <w:rPr>
          <w:rFonts w:hint="eastAsia"/>
        </w:rPr>
        <w:fldChar w:fldCharType="separate"/>
      </w:r>
      <w:r>
        <w:rPr>
          <w:rFonts w:hint="eastAsia"/>
        </w:rPr>
        <w:t>表 11</w:t>
      </w:r>
      <w:r>
        <w:rPr>
          <w:rFonts w:hint="eastAsia"/>
        </w:rPr>
        <w:fldChar w:fldCharType="end"/>
      </w:r>
      <w:r>
        <w:rPr>
          <w:rFonts w:hint="eastAsia"/>
        </w:rPr>
        <w:t>。</w:t>
      </w:r>
    </w:p>
    <w:p>
      <w:pPr>
        <w:pStyle w:val="4"/>
      </w:pPr>
      <w:bookmarkStart w:id="31" w:name="_Ref17796"/>
      <w:r>
        <w:br w:type="page"/>
      </w:r>
    </w:p>
    <w:p>
      <w:pPr>
        <w:pStyle w:val="4"/>
      </w:pPr>
      <w:bookmarkStart w:id="32" w:name="_Ref22055"/>
      <w:r>
        <w:t xml:space="preserve">表 </w:t>
      </w:r>
      <w:r>
        <w:fldChar w:fldCharType="begin"/>
      </w:r>
      <w:r>
        <w:instrText xml:space="preserve"> SEQ 表 \* ARABIC </w:instrText>
      </w:r>
      <w:r>
        <w:fldChar w:fldCharType="separate"/>
      </w:r>
      <w:r>
        <w:t>10</w:t>
      </w:r>
      <w:r>
        <w:fldChar w:fldCharType="end"/>
      </w:r>
      <w:bookmarkEnd w:id="32"/>
      <w:r>
        <w:rPr>
          <w:rFonts w:hint="eastAsia" w:ascii="宋体" w:hAnsi="宋体" w:cs="宋体"/>
        </w:rPr>
        <w:t xml:space="preserve"> 2018届毕业生</w:t>
      </w:r>
      <w:r>
        <w:rPr>
          <w:rFonts w:hint="eastAsia" w:ascii="宋体" w:hAnsi="宋体" w:cs="宋体"/>
          <w:lang w:eastAsia="zh-CN"/>
        </w:rPr>
        <w:t>生源与</w:t>
      </w:r>
      <w:r>
        <w:rPr>
          <w:rFonts w:hint="eastAsia" w:ascii="宋体" w:hAnsi="宋体" w:cs="宋体"/>
        </w:rPr>
        <w:t>就业地区流向</w:t>
      </w:r>
      <w:r>
        <w:rPr>
          <w:rFonts w:hint="eastAsia" w:ascii="宋体" w:hAnsi="宋体" w:cs="宋体"/>
          <w:lang w:eastAsia="zh-CN"/>
        </w:rPr>
        <w:t>比较</w:t>
      </w:r>
      <w:r>
        <w:rPr>
          <w:rFonts w:hint="eastAsia" w:ascii="宋体" w:hAnsi="宋体" w:cs="宋体"/>
        </w:rPr>
        <w:t>（全国）</w:t>
      </w:r>
    </w:p>
    <w:tbl>
      <w:tblPr>
        <w:tblStyle w:val="8"/>
        <w:tblW w:w="8165" w:type="dxa"/>
        <w:jc w:val="center"/>
        <w:tblInd w:w="0" w:type="dxa"/>
        <w:tblLayout w:type="fixed"/>
        <w:tblCellMar>
          <w:top w:w="0" w:type="dxa"/>
          <w:left w:w="108" w:type="dxa"/>
          <w:bottom w:w="0" w:type="dxa"/>
          <w:right w:w="108" w:type="dxa"/>
        </w:tblCellMar>
      </w:tblPr>
      <w:tblGrid>
        <w:gridCol w:w="910"/>
        <w:gridCol w:w="1204"/>
        <w:gridCol w:w="1799"/>
        <w:gridCol w:w="1284"/>
        <w:gridCol w:w="1252"/>
        <w:gridCol w:w="1716"/>
      </w:tblGrid>
      <w:tr>
        <w:tblPrEx>
          <w:tblLayout w:type="fixed"/>
          <w:tblCellMar>
            <w:top w:w="0" w:type="dxa"/>
            <w:left w:w="108" w:type="dxa"/>
            <w:bottom w:w="0" w:type="dxa"/>
            <w:right w:w="108" w:type="dxa"/>
          </w:tblCellMar>
        </w:tblPrEx>
        <w:trPr>
          <w:trHeight w:val="819" w:hRule="exact"/>
          <w:jc w:val="center"/>
        </w:trPr>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4"/>
              </w:rPr>
            </w:pPr>
            <w:r>
              <w:rPr>
                <w:rFonts w:hint="eastAsia"/>
                <w:b/>
                <w:bCs/>
                <w:sz w:val="24"/>
              </w:rPr>
              <w:t>地区</w:t>
            </w:r>
          </w:p>
        </w:tc>
        <w:tc>
          <w:tcPr>
            <w:tcW w:w="1204" w:type="dxa"/>
            <w:tcBorders>
              <w:top w:val="single" w:color="auto" w:sz="4" w:space="0"/>
              <w:left w:val="nil"/>
              <w:bottom w:val="single" w:color="auto" w:sz="4" w:space="0"/>
              <w:right w:val="single" w:color="auto" w:sz="4" w:space="0"/>
            </w:tcBorders>
            <w:vAlign w:val="center"/>
          </w:tcPr>
          <w:p>
            <w:pPr>
              <w:spacing w:line="360" w:lineRule="auto"/>
              <w:jc w:val="center"/>
              <w:rPr>
                <w:b/>
                <w:bCs/>
                <w:sz w:val="24"/>
              </w:rPr>
            </w:pPr>
            <w:r>
              <w:rPr>
                <w:rFonts w:hint="eastAsia"/>
                <w:b/>
                <w:bCs/>
                <w:sz w:val="24"/>
              </w:rPr>
              <w:t>省份</w:t>
            </w:r>
          </w:p>
        </w:tc>
        <w:tc>
          <w:tcPr>
            <w:tcW w:w="17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b/>
                <w:bCs/>
                <w:sz w:val="24"/>
                <w:lang w:eastAsia="zh-CN"/>
              </w:rPr>
            </w:pPr>
            <w:r>
              <w:rPr>
                <w:rFonts w:hint="eastAsia"/>
                <w:b/>
                <w:bCs/>
                <w:sz w:val="24"/>
                <w:lang w:eastAsia="zh-CN"/>
              </w:rPr>
              <w:t>已就业毕业生</w:t>
            </w:r>
            <w:r>
              <w:rPr>
                <w:rFonts w:hint="eastAsia"/>
                <w:b/>
                <w:bCs/>
                <w:sz w:val="24"/>
              </w:rPr>
              <w:t>生源</w:t>
            </w:r>
            <w:r>
              <w:rPr>
                <w:rFonts w:hint="eastAsia"/>
                <w:b/>
                <w:bCs/>
                <w:sz w:val="24"/>
                <w:lang w:eastAsia="zh-CN"/>
              </w:rPr>
              <w:t>数</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4"/>
                <w:lang w:eastAsia="zh-CN"/>
              </w:rPr>
            </w:pPr>
            <w:r>
              <w:rPr>
                <w:rFonts w:hint="eastAsia"/>
                <w:b/>
                <w:bCs/>
                <w:sz w:val="24"/>
                <w:lang w:eastAsia="zh-CN"/>
              </w:rPr>
              <w:t>就业流入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4"/>
                <w:lang w:eastAsia="zh-CN"/>
              </w:rPr>
            </w:pPr>
            <w:r>
              <w:rPr>
                <w:rFonts w:hint="eastAsia"/>
                <w:b/>
                <w:bCs/>
                <w:sz w:val="24"/>
                <w:lang w:eastAsia="zh-CN"/>
              </w:rPr>
              <w:t>人数</w:t>
            </w:r>
          </w:p>
        </w:tc>
        <w:tc>
          <w:tcPr>
            <w:tcW w:w="12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4"/>
                <w:lang w:eastAsia="zh-CN"/>
              </w:rPr>
            </w:pPr>
            <w:r>
              <w:rPr>
                <w:rFonts w:hint="eastAsia"/>
                <w:b/>
                <w:bCs/>
                <w:sz w:val="24"/>
                <w:lang w:eastAsia="zh-CN"/>
              </w:rPr>
              <w:t>净流入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4"/>
                <w:lang w:eastAsia="zh-CN"/>
              </w:rPr>
            </w:pPr>
            <w:r>
              <w:rPr>
                <w:rFonts w:hint="eastAsia"/>
                <w:b/>
                <w:bCs/>
                <w:sz w:val="24"/>
                <w:lang w:eastAsia="zh-CN"/>
              </w:rPr>
              <w:t>人数</w:t>
            </w:r>
          </w:p>
        </w:tc>
        <w:tc>
          <w:tcPr>
            <w:tcW w:w="17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bCs/>
                <w:sz w:val="24"/>
              </w:rPr>
            </w:pPr>
            <w:r>
              <w:rPr>
                <w:rFonts w:hint="eastAsia"/>
                <w:b/>
                <w:bCs/>
                <w:sz w:val="24"/>
              </w:rPr>
              <w:t>占</w:t>
            </w:r>
            <w:r>
              <w:rPr>
                <w:rFonts w:hint="eastAsia"/>
                <w:b/>
                <w:bCs/>
                <w:sz w:val="24"/>
                <w:lang w:eastAsia="zh-CN"/>
              </w:rPr>
              <w:t>已</w:t>
            </w:r>
            <w:r>
              <w:rPr>
                <w:rFonts w:hint="eastAsia"/>
                <w:b/>
                <w:bCs/>
                <w:sz w:val="24"/>
              </w:rPr>
              <w:t>就业</w:t>
            </w:r>
            <w:r>
              <w:rPr>
                <w:rFonts w:hint="eastAsia"/>
                <w:b/>
                <w:bCs/>
                <w:sz w:val="24"/>
                <w:lang w:eastAsia="zh-CN"/>
              </w:rPr>
              <w:t>总</w:t>
            </w:r>
            <w:r>
              <w:rPr>
                <w:rFonts w:hint="eastAsia"/>
                <w:b/>
                <w:bCs/>
                <w:sz w:val="24"/>
              </w:rPr>
              <w:t>数</w:t>
            </w:r>
            <w:r>
              <w:rPr>
                <w:rFonts w:hint="eastAsia"/>
                <w:b/>
                <w:bCs/>
                <w:sz w:val="24"/>
                <w:lang w:eastAsia="zh-CN"/>
              </w:rPr>
              <w:t>的</w:t>
            </w:r>
            <w:r>
              <w:rPr>
                <w:rFonts w:hint="eastAsia"/>
                <w:b/>
                <w:bCs/>
                <w:sz w:val="24"/>
              </w:rPr>
              <w:t>比例</w:t>
            </w:r>
          </w:p>
        </w:tc>
      </w:tr>
      <w:tr>
        <w:tblPrEx>
          <w:tblLayout w:type="fixed"/>
          <w:tblCellMar>
            <w:top w:w="0" w:type="dxa"/>
            <w:left w:w="108" w:type="dxa"/>
            <w:bottom w:w="0" w:type="dxa"/>
            <w:right w:w="108" w:type="dxa"/>
          </w:tblCellMar>
        </w:tblPrEx>
        <w:trPr>
          <w:trHeight w:val="397" w:hRule="exact"/>
          <w:jc w:val="center"/>
        </w:trPr>
        <w:tc>
          <w:tcPr>
            <w:tcW w:w="910"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华北</w:t>
            </w: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北京</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0</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2</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2</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0.09%</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河北</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val="en-US" w:eastAsia="zh-CN"/>
              </w:rPr>
            </w:pPr>
            <w:r>
              <w:rPr>
                <w:rFonts w:hint="eastAsia"/>
                <w:kern w:val="0"/>
                <w:sz w:val="24"/>
                <w:szCs w:val="24"/>
                <w:lang w:val="en-US" w:eastAsia="zh-CN"/>
              </w:rPr>
              <w:t>30</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19</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-11</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0.89%</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山西</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val="en-US" w:eastAsia="zh-CN"/>
              </w:rPr>
            </w:pPr>
            <w:r>
              <w:rPr>
                <w:rFonts w:hint="eastAsia"/>
                <w:kern w:val="0"/>
                <w:sz w:val="24"/>
                <w:szCs w:val="24"/>
                <w:lang w:val="en-US" w:eastAsia="zh-CN"/>
              </w:rPr>
              <w:t>17</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10</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-7</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0.47%</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内蒙古</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8</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5</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-3</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0.23%</w:t>
            </w:r>
          </w:p>
        </w:tc>
      </w:tr>
      <w:tr>
        <w:tblPrEx>
          <w:tblLayout w:type="fixed"/>
          <w:tblCellMar>
            <w:top w:w="0" w:type="dxa"/>
            <w:left w:w="108" w:type="dxa"/>
            <w:bottom w:w="0" w:type="dxa"/>
            <w:right w:w="108" w:type="dxa"/>
          </w:tblCellMar>
        </w:tblPrEx>
        <w:trPr>
          <w:trHeight w:val="397" w:hRule="exact"/>
          <w:jc w:val="center"/>
        </w:trPr>
        <w:tc>
          <w:tcPr>
            <w:tcW w:w="910" w:type="dxa"/>
            <w:vMerge w:val="restart"/>
            <w:tcBorders>
              <w:top w:val="single" w:color="auto" w:sz="4" w:space="0"/>
              <w:left w:val="single" w:color="auto" w:sz="4" w:space="0"/>
              <w:right w:val="single" w:color="auto" w:sz="4" w:space="0"/>
            </w:tcBorders>
            <w:vAlign w:val="center"/>
          </w:tcPr>
          <w:p>
            <w:pPr>
              <w:spacing w:line="360" w:lineRule="auto"/>
              <w:jc w:val="center"/>
              <w:rPr>
                <w:sz w:val="24"/>
              </w:rPr>
            </w:pPr>
            <w:r>
              <w:rPr>
                <w:rFonts w:hint="eastAsia"/>
                <w:sz w:val="24"/>
              </w:rPr>
              <w:t>东北</w:t>
            </w:r>
          </w:p>
        </w:tc>
        <w:tc>
          <w:tcPr>
            <w:tcW w:w="1204"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lang w:eastAsia="zh-CN"/>
              </w:rPr>
              <w:t>辽宁</w:t>
            </w:r>
          </w:p>
        </w:tc>
        <w:tc>
          <w:tcPr>
            <w:tcW w:w="17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6</w:t>
            </w:r>
          </w:p>
        </w:tc>
        <w:tc>
          <w:tcPr>
            <w:tcW w:w="1284"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0</w:t>
            </w:r>
          </w:p>
        </w:tc>
        <w:tc>
          <w:tcPr>
            <w:tcW w:w="12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-6</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left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吉林</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lang w:val="en-US"/>
              </w:rPr>
            </w:pPr>
            <w:r>
              <w:rPr>
                <w:rFonts w:hint="eastAsia"/>
                <w:kern w:val="0"/>
                <w:sz w:val="24"/>
                <w:szCs w:val="24"/>
                <w:lang w:val="en-US" w:eastAsia="zh-CN"/>
              </w:rPr>
              <w:t>19</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10</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-9</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kern w:val="0"/>
                <w:sz w:val="24"/>
                <w:szCs w:val="24"/>
                <w:lang w:bidi="ar"/>
              </w:rPr>
            </w:pPr>
            <w:r>
              <w:rPr>
                <w:rFonts w:hint="eastAsia" w:ascii="宋体" w:hAnsi="宋体" w:eastAsia="宋体" w:cs="宋体"/>
                <w:i w:val="0"/>
                <w:color w:val="000000"/>
                <w:kern w:val="0"/>
                <w:sz w:val="24"/>
                <w:szCs w:val="24"/>
                <w:u w:val="none"/>
                <w:lang w:val="en-US" w:eastAsia="zh-CN" w:bidi="ar"/>
              </w:rPr>
              <w:t>0.47%</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rFonts w:hint="eastAsia" w:eastAsia="宋体"/>
                <w:sz w:val="24"/>
                <w:lang w:eastAsia="zh-CN"/>
              </w:rPr>
            </w:pPr>
            <w:r>
              <w:rPr>
                <w:rFonts w:hint="eastAsia"/>
                <w:sz w:val="24"/>
              </w:rPr>
              <w:t>黑龙江</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lang w:val="en-US" w:eastAsia="zh-CN"/>
              </w:rPr>
            </w:pPr>
            <w:r>
              <w:rPr>
                <w:rFonts w:hint="eastAsia"/>
                <w:kern w:val="0"/>
                <w:sz w:val="24"/>
                <w:szCs w:val="24"/>
                <w:lang w:val="en-US" w:eastAsia="zh-CN"/>
              </w:rPr>
              <w:t>38</w:t>
            </w:r>
          </w:p>
        </w:tc>
        <w:tc>
          <w:tcPr>
            <w:tcW w:w="1284" w:type="dxa"/>
            <w:tcBorders>
              <w:top w:val="nil"/>
              <w:left w:val="nil"/>
              <w:bottom w:val="single" w:color="auto" w:sz="4" w:space="0"/>
              <w:right w:val="single" w:color="auto" w:sz="4" w:space="0"/>
            </w:tcBorders>
            <w:vAlign w:val="center"/>
          </w:tcPr>
          <w:p>
            <w:pPr>
              <w:spacing w:line="360" w:lineRule="auto"/>
              <w:jc w:val="center"/>
              <w:rPr>
                <w:rFonts w:hint="eastAsia" w:eastAsia="宋体"/>
                <w:sz w:val="24"/>
                <w:lang w:val="en-US" w:eastAsia="zh-CN"/>
              </w:rPr>
            </w:pPr>
            <w:r>
              <w:rPr>
                <w:rFonts w:hint="eastAsia"/>
                <w:sz w:val="24"/>
                <w:lang w:val="en-US" w:eastAsia="zh-CN"/>
              </w:rPr>
              <w:t>22</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lang w:val="en-US" w:eastAsia="zh-CN"/>
              </w:rPr>
            </w:pPr>
            <w:r>
              <w:rPr>
                <w:rFonts w:hint="eastAsia" w:ascii="宋体" w:hAnsi="宋体" w:eastAsia="宋体" w:cs="宋体"/>
                <w:i w:val="0"/>
                <w:color w:val="000000"/>
                <w:kern w:val="0"/>
                <w:sz w:val="24"/>
                <w:szCs w:val="24"/>
                <w:u w:val="none"/>
                <w:lang w:val="en-US" w:eastAsia="zh-CN" w:bidi="ar"/>
              </w:rPr>
              <w:t>-16</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1.03%</w:t>
            </w:r>
          </w:p>
        </w:tc>
      </w:tr>
      <w:tr>
        <w:tblPrEx>
          <w:tblLayout w:type="fixed"/>
          <w:tblCellMar>
            <w:top w:w="0" w:type="dxa"/>
            <w:left w:w="108" w:type="dxa"/>
            <w:bottom w:w="0" w:type="dxa"/>
            <w:right w:w="108" w:type="dxa"/>
          </w:tblCellMar>
        </w:tblPrEx>
        <w:trPr>
          <w:trHeight w:val="397" w:hRule="exact"/>
          <w:jc w:val="center"/>
        </w:trPr>
        <w:tc>
          <w:tcPr>
            <w:tcW w:w="910"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华东</w:t>
            </w: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上海</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0</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15</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15</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0.70%</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江苏</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val="en-US" w:eastAsia="zh-CN"/>
              </w:rPr>
            </w:pPr>
            <w:r>
              <w:rPr>
                <w:rFonts w:hint="eastAsia"/>
                <w:kern w:val="0"/>
                <w:sz w:val="24"/>
                <w:szCs w:val="24"/>
                <w:lang w:val="en-US" w:eastAsia="zh-CN"/>
              </w:rPr>
              <w:t>11</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12</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0.56%</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浙江</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lang w:val="en-US"/>
              </w:rPr>
            </w:pPr>
            <w:r>
              <w:rPr>
                <w:rFonts w:hint="eastAsia"/>
                <w:kern w:val="0"/>
                <w:sz w:val="24"/>
                <w:szCs w:val="24"/>
                <w:lang w:val="en-US" w:eastAsia="zh-CN"/>
              </w:rPr>
              <w:t>1826</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1929</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103</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90.06%</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安徽</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lang w:val="en-US"/>
              </w:rPr>
            </w:pPr>
            <w:r>
              <w:rPr>
                <w:rFonts w:hint="eastAsia"/>
                <w:kern w:val="0"/>
                <w:sz w:val="24"/>
                <w:szCs w:val="24"/>
                <w:lang w:val="en-US" w:eastAsia="zh-CN"/>
              </w:rPr>
              <w:t>30</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18</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-12</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0.84%</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福建</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eastAsia="zh-CN"/>
              </w:rPr>
            </w:pPr>
            <w:r>
              <w:rPr>
                <w:rFonts w:hint="eastAsia"/>
                <w:kern w:val="0"/>
                <w:sz w:val="24"/>
                <w:szCs w:val="24"/>
                <w:lang w:val="en-US" w:eastAsia="zh-CN"/>
              </w:rPr>
              <w:t>7</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7</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0.33%</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江西</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val="en-US" w:eastAsia="zh-CN"/>
              </w:rPr>
            </w:pPr>
            <w:r>
              <w:rPr>
                <w:rFonts w:hint="eastAsia"/>
                <w:kern w:val="0"/>
                <w:sz w:val="24"/>
                <w:szCs w:val="24"/>
                <w:lang w:val="en-US" w:eastAsia="zh-CN"/>
              </w:rPr>
              <w:t>14</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10</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-4</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0.47%</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rPr>
              <w:t>山东</w:t>
            </w:r>
          </w:p>
        </w:tc>
        <w:tc>
          <w:tcPr>
            <w:tcW w:w="17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sz w:val="24"/>
                <w:lang w:val="en-US"/>
              </w:rPr>
            </w:pPr>
            <w:r>
              <w:rPr>
                <w:rFonts w:hint="eastAsia"/>
                <w:kern w:val="0"/>
                <w:sz w:val="24"/>
                <w:szCs w:val="24"/>
                <w:lang w:val="en-US" w:eastAsia="zh-CN"/>
              </w:rPr>
              <w:t>37</w:t>
            </w:r>
          </w:p>
        </w:tc>
        <w:tc>
          <w:tcPr>
            <w:tcW w:w="1284"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26</w:t>
            </w:r>
          </w:p>
        </w:tc>
        <w:tc>
          <w:tcPr>
            <w:tcW w:w="12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1.21%</w:t>
            </w:r>
          </w:p>
        </w:tc>
      </w:tr>
      <w:tr>
        <w:tblPrEx>
          <w:tblLayout w:type="fixed"/>
          <w:tblCellMar>
            <w:top w:w="0" w:type="dxa"/>
            <w:left w:w="108" w:type="dxa"/>
            <w:bottom w:w="0" w:type="dxa"/>
            <w:right w:w="108" w:type="dxa"/>
          </w:tblCellMar>
        </w:tblPrEx>
        <w:trPr>
          <w:trHeight w:val="397" w:hRule="exact"/>
          <w:jc w:val="center"/>
        </w:trPr>
        <w:tc>
          <w:tcPr>
            <w:tcW w:w="910"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中南</w:t>
            </w: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河南</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val="en-US" w:eastAsia="zh-CN"/>
              </w:rPr>
            </w:pPr>
            <w:r>
              <w:rPr>
                <w:rFonts w:hint="eastAsia"/>
                <w:kern w:val="0"/>
                <w:sz w:val="24"/>
                <w:szCs w:val="24"/>
                <w:lang w:val="en-US" w:eastAsia="zh-CN"/>
              </w:rPr>
              <w:t>12</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7</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-5</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0.33%</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湖北</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eastAsia="zh-CN"/>
              </w:rPr>
            </w:pPr>
            <w:r>
              <w:rPr>
                <w:rFonts w:hint="eastAsia"/>
                <w:kern w:val="0"/>
                <w:sz w:val="24"/>
                <w:szCs w:val="24"/>
                <w:lang w:val="en-US" w:eastAsia="zh-CN"/>
              </w:rPr>
              <w:t>8</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5</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-3</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0.23%</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湖南</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3</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2</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0.09%</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广西</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0</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2</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2</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0.09%</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广东</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0</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4</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4</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0.19%</w:t>
            </w:r>
          </w:p>
        </w:tc>
      </w:tr>
      <w:tr>
        <w:tblPrEx>
          <w:tblLayout w:type="fixed"/>
          <w:tblCellMar>
            <w:top w:w="0" w:type="dxa"/>
            <w:left w:w="108" w:type="dxa"/>
            <w:bottom w:w="0" w:type="dxa"/>
            <w:right w:w="108" w:type="dxa"/>
          </w:tblCellMar>
        </w:tblPrEx>
        <w:trPr>
          <w:trHeight w:val="397" w:hRule="exact"/>
          <w:jc w:val="center"/>
        </w:trPr>
        <w:tc>
          <w:tcPr>
            <w:tcW w:w="910" w:type="dxa"/>
            <w:vMerge w:val="restart"/>
            <w:tcBorders>
              <w:top w:val="nil"/>
              <w:left w:val="single" w:color="auto" w:sz="4" w:space="0"/>
              <w:right w:val="single" w:color="auto" w:sz="4" w:space="0"/>
            </w:tcBorders>
            <w:vAlign w:val="center"/>
          </w:tcPr>
          <w:p>
            <w:pPr>
              <w:spacing w:line="360" w:lineRule="auto"/>
              <w:jc w:val="center"/>
              <w:rPr>
                <w:sz w:val="24"/>
              </w:rPr>
            </w:pPr>
            <w:r>
              <w:rPr>
                <w:rFonts w:hint="eastAsia"/>
                <w:sz w:val="24"/>
              </w:rPr>
              <w:t>西南</w:t>
            </w:r>
          </w:p>
        </w:tc>
        <w:tc>
          <w:tcPr>
            <w:tcW w:w="1204" w:type="dxa"/>
            <w:tcBorders>
              <w:top w:val="nil"/>
              <w:left w:val="nil"/>
              <w:bottom w:val="single" w:color="auto" w:sz="4" w:space="0"/>
              <w:right w:val="single" w:color="auto" w:sz="4" w:space="0"/>
            </w:tcBorders>
            <w:vAlign w:val="center"/>
          </w:tcPr>
          <w:p>
            <w:pPr>
              <w:spacing w:line="360" w:lineRule="auto"/>
              <w:jc w:val="center"/>
              <w:rPr>
                <w:rFonts w:hint="eastAsia" w:eastAsia="宋体"/>
                <w:sz w:val="24"/>
                <w:lang w:eastAsia="zh-CN"/>
              </w:rPr>
            </w:pPr>
            <w:r>
              <w:rPr>
                <w:rFonts w:hint="eastAsia"/>
                <w:sz w:val="24"/>
                <w:lang w:eastAsia="zh-CN"/>
              </w:rPr>
              <w:t>重庆</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val="en-US" w:eastAsia="zh-CN"/>
              </w:rPr>
            </w:pPr>
            <w:r>
              <w:rPr>
                <w:rFonts w:hint="eastAsia"/>
                <w:sz w:val="24"/>
                <w:lang w:val="en-US" w:eastAsia="zh-CN"/>
              </w:rPr>
              <w:t>2</w:t>
            </w:r>
          </w:p>
        </w:tc>
        <w:tc>
          <w:tcPr>
            <w:tcW w:w="1284" w:type="dxa"/>
            <w:tcBorders>
              <w:top w:val="nil"/>
              <w:left w:val="nil"/>
              <w:bottom w:val="single" w:color="auto" w:sz="4" w:space="0"/>
              <w:right w:val="single" w:color="auto" w:sz="4" w:space="0"/>
            </w:tcBorders>
            <w:vAlign w:val="center"/>
          </w:tcPr>
          <w:p>
            <w:pPr>
              <w:spacing w:line="360" w:lineRule="auto"/>
              <w:jc w:val="center"/>
              <w:rPr>
                <w:rFonts w:hint="eastAsia" w:eastAsia="宋体"/>
                <w:sz w:val="24"/>
                <w:lang w:val="en-US" w:eastAsia="zh-CN"/>
              </w:rPr>
            </w:pPr>
            <w:r>
              <w:rPr>
                <w:rFonts w:hint="eastAsia"/>
                <w:sz w:val="24"/>
                <w:lang w:val="en-US" w:eastAsia="zh-CN"/>
              </w:rPr>
              <w:t>1</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0.05%</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left w:val="single" w:color="auto" w:sz="4" w:space="0"/>
              <w:right w:val="single" w:color="auto" w:sz="4" w:space="0"/>
            </w:tcBorders>
            <w:vAlign w:val="center"/>
          </w:tcPr>
          <w:p>
            <w:pPr>
              <w:spacing w:line="360" w:lineRule="auto"/>
              <w:jc w:val="center"/>
              <w:rPr>
                <w:rFonts w:hint="eastAsia"/>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rFonts w:hint="eastAsia"/>
                <w:sz w:val="24"/>
                <w:lang w:eastAsia="zh-CN"/>
              </w:rPr>
            </w:pPr>
            <w:r>
              <w:rPr>
                <w:rFonts w:hint="eastAsia"/>
                <w:sz w:val="24"/>
              </w:rPr>
              <w:t>贵州</w:t>
            </w:r>
          </w:p>
        </w:tc>
        <w:tc>
          <w:tcPr>
            <w:tcW w:w="1799" w:type="dxa"/>
            <w:tcBorders>
              <w:top w:val="nil"/>
              <w:left w:val="nil"/>
              <w:bottom w:val="single" w:color="auto" w:sz="4" w:space="0"/>
              <w:right w:val="single" w:color="auto" w:sz="4" w:space="0"/>
            </w:tcBorders>
            <w:vAlign w:val="center"/>
          </w:tcPr>
          <w:p>
            <w:pPr>
              <w:spacing w:line="360" w:lineRule="auto"/>
              <w:jc w:val="center"/>
              <w:rPr>
                <w:rFonts w:hint="eastAsia"/>
                <w:sz w:val="24"/>
                <w:lang w:val="en-US" w:eastAsia="zh-CN"/>
              </w:rPr>
            </w:pPr>
            <w:r>
              <w:rPr>
                <w:rFonts w:hint="eastAsia"/>
                <w:sz w:val="24"/>
                <w:lang w:val="en-US" w:eastAsia="zh-CN"/>
              </w:rPr>
              <w:t>0</w:t>
            </w:r>
          </w:p>
        </w:tc>
        <w:tc>
          <w:tcPr>
            <w:tcW w:w="1284" w:type="dxa"/>
            <w:tcBorders>
              <w:top w:val="nil"/>
              <w:left w:val="nil"/>
              <w:bottom w:val="single" w:color="auto" w:sz="4" w:space="0"/>
              <w:right w:val="single" w:color="auto" w:sz="4" w:space="0"/>
            </w:tcBorders>
            <w:vAlign w:val="center"/>
          </w:tcPr>
          <w:p>
            <w:pPr>
              <w:spacing w:line="360" w:lineRule="auto"/>
              <w:jc w:val="center"/>
              <w:rPr>
                <w:rFonts w:hint="eastAsia"/>
                <w:sz w:val="24"/>
                <w:lang w:val="en-US" w:eastAsia="zh-CN"/>
              </w:rPr>
            </w:pPr>
            <w:r>
              <w:rPr>
                <w:rFonts w:hint="eastAsia"/>
                <w:sz w:val="24"/>
                <w:lang w:val="en-US" w:eastAsia="zh-CN"/>
              </w:rPr>
              <w:t>1</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1</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0.05%</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rFonts w:hint="eastAsia"/>
                <w:sz w:val="24"/>
              </w:rPr>
            </w:pPr>
            <w:r>
              <w:rPr>
                <w:rFonts w:hint="eastAsia"/>
                <w:sz w:val="24"/>
              </w:rPr>
              <w:t>四川</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kern w:val="0"/>
                <w:sz w:val="24"/>
                <w:szCs w:val="24"/>
                <w:lang w:val="en-US" w:eastAsia="zh-CN"/>
              </w:rPr>
            </w:pPr>
            <w:r>
              <w:rPr>
                <w:rFonts w:hint="eastAsia"/>
                <w:kern w:val="0"/>
                <w:sz w:val="24"/>
                <w:szCs w:val="24"/>
                <w:lang w:val="en-US" w:eastAsia="zh-CN"/>
              </w:rPr>
              <w:t>2</w:t>
            </w:r>
          </w:p>
        </w:tc>
        <w:tc>
          <w:tcPr>
            <w:tcW w:w="1284" w:type="dxa"/>
            <w:tcBorders>
              <w:top w:val="nil"/>
              <w:left w:val="nil"/>
              <w:bottom w:val="single" w:color="auto" w:sz="4" w:space="0"/>
              <w:right w:val="single" w:color="auto" w:sz="4" w:space="0"/>
            </w:tcBorders>
            <w:vAlign w:val="center"/>
          </w:tcPr>
          <w:p>
            <w:pPr>
              <w:spacing w:line="360" w:lineRule="auto"/>
              <w:jc w:val="center"/>
              <w:rPr>
                <w:rFonts w:hint="eastAsia"/>
                <w:sz w:val="24"/>
              </w:rPr>
            </w:pPr>
            <w:r>
              <w:rPr>
                <w:rFonts w:hint="eastAsia"/>
                <w:sz w:val="24"/>
                <w:lang w:val="en-US" w:eastAsia="zh-CN"/>
              </w:rPr>
              <w:t>2</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kern w:val="0"/>
                <w:sz w:val="24"/>
                <w:szCs w:val="24"/>
                <w:lang w:bidi="ar"/>
              </w:rPr>
            </w:pPr>
            <w:r>
              <w:rPr>
                <w:rFonts w:hint="eastAsia" w:ascii="宋体" w:hAnsi="宋体" w:eastAsia="宋体" w:cs="宋体"/>
                <w:i w:val="0"/>
                <w:color w:val="000000"/>
                <w:kern w:val="0"/>
                <w:sz w:val="24"/>
                <w:szCs w:val="24"/>
                <w:u w:val="none"/>
                <w:lang w:val="en-US" w:eastAsia="zh-CN" w:bidi="ar"/>
              </w:rPr>
              <w:t>0.09%</w:t>
            </w:r>
          </w:p>
        </w:tc>
      </w:tr>
      <w:tr>
        <w:tblPrEx>
          <w:tblLayout w:type="fixed"/>
          <w:tblCellMar>
            <w:top w:w="0" w:type="dxa"/>
            <w:left w:w="108" w:type="dxa"/>
            <w:bottom w:w="0" w:type="dxa"/>
            <w:right w:w="108" w:type="dxa"/>
          </w:tblCellMar>
        </w:tblPrEx>
        <w:trPr>
          <w:trHeight w:val="397" w:hRule="exact"/>
          <w:jc w:val="center"/>
        </w:trPr>
        <w:tc>
          <w:tcPr>
            <w:tcW w:w="910"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西北</w:t>
            </w: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陕西</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eastAsia="宋体"/>
                <w:sz w:val="24"/>
                <w:lang w:val="en-US" w:eastAsia="zh-CN"/>
              </w:rPr>
            </w:pPr>
            <w:r>
              <w:rPr>
                <w:rFonts w:hint="eastAsia"/>
                <w:kern w:val="0"/>
                <w:sz w:val="24"/>
                <w:szCs w:val="24"/>
                <w:lang w:val="en-US" w:eastAsia="zh-CN"/>
              </w:rPr>
              <w:t>22</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13</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-9</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0.61%</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left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甘肃</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rPr>
            </w:pPr>
            <w:r>
              <w:rPr>
                <w:rFonts w:hint="eastAsia"/>
                <w:kern w:val="0"/>
                <w:sz w:val="24"/>
                <w:szCs w:val="24"/>
                <w:lang w:val="en-US" w:eastAsia="zh-CN"/>
              </w:rPr>
              <w:t>1</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0.05%</w:t>
            </w:r>
          </w:p>
        </w:tc>
      </w:tr>
      <w:tr>
        <w:tblPrEx>
          <w:tblLayout w:type="fixed"/>
          <w:tblCellMar>
            <w:top w:w="0" w:type="dxa"/>
            <w:left w:w="108" w:type="dxa"/>
            <w:bottom w:w="0" w:type="dxa"/>
            <w:right w:w="108" w:type="dxa"/>
          </w:tblCellMar>
        </w:tblPrEx>
        <w:trPr>
          <w:trHeight w:val="397" w:hRule="exact"/>
          <w:jc w:val="center"/>
        </w:trPr>
        <w:tc>
          <w:tcPr>
            <w:tcW w:w="910" w:type="dxa"/>
            <w:vMerge w:val="continue"/>
            <w:tcBorders>
              <w:top w:val="nil"/>
              <w:left w:val="single" w:color="auto" w:sz="4" w:space="0"/>
              <w:bottom w:val="single" w:color="auto" w:sz="4" w:space="0"/>
              <w:right w:val="single" w:color="auto" w:sz="4" w:space="0"/>
            </w:tcBorders>
            <w:vAlign w:val="center"/>
          </w:tcPr>
          <w:p>
            <w:pPr>
              <w:spacing w:line="360" w:lineRule="auto"/>
              <w:jc w:val="center"/>
              <w:rPr>
                <w:sz w:val="24"/>
              </w:rPr>
            </w:pPr>
          </w:p>
        </w:tc>
        <w:tc>
          <w:tcPr>
            <w:tcW w:w="120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rPr>
              <w:t>新疆</w:t>
            </w:r>
          </w:p>
        </w:tc>
        <w:tc>
          <w:tcPr>
            <w:tcW w:w="1799" w:type="dxa"/>
            <w:tcBorders>
              <w:top w:val="nil"/>
              <w:left w:val="nil"/>
              <w:bottom w:val="single" w:color="auto" w:sz="4" w:space="0"/>
              <w:right w:val="single" w:color="auto" w:sz="4" w:space="0"/>
            </w:tcBorders>
            <w:vAlign w:val="center"/>
          </w:tcPr>
          <w:p>
            <w:pPr>
              <w:widowControl/>
              <w:jc w:val="center"/>
              <w:textAlignment w:val="center"/>
              <w:rPr>
                <w:rFonts w:hint="eastAsia"/>
                <w:sz w:val="24"/>
                <w:lang w:val="en-US"/>
              </w:rPr>
            </w:pPr>
            <w:r>
              <w:rPr>
                <w:rFonts w:hint="eastAsia"/>
                <w:kern w:val="0"/>
                <w:sz w:val="24"/>
                <w:szCs w:val="24"/>
                <w:lang w:val="en-US" w:eastAsia="zh-CN"/>
              </w:rPr>
              <w:t>49</w:t>
            </w:r>
          </w:p>
        </w:tc>
        <w:tc>
          <w:tcPr>
            <w:tcW w:w="1284" w:type="dxa"/>
            <w:tcBorders>
              <w:top w:val="nil"/>
              <w:left w:val="nil"/>
              <w:bottom w:val="single" w:color="auto" w:sz="4" w:space="0"/>
              <w:right w:val="single" w:color="auto" w:sz="4" w:space="0"/>
            </w:tcBorders>
            <w:vAlign w:val="center"/>
          </w:tcPr>
          <w:p>
            <w:pPr>
              <w:spacing w:line="360" w:lineRule="auto"/>
              <w:jc w:val="center"/>
              <w:rPr>
                <w:sz w:val="24"/>
              </w:rPr>
            </w:pPr>
            <w:r>
              <w:rPr>
                <w:rFonts w:hint="eastAsia"/>
                <w:sz w:val="24"/>
                <w:lang w:val="en-US" w:eastAsia="zh-CN"/>
              </w:rPr>
              <w:t>19</w:t>
            </w:r>
          </w:p>
        </w:tc>
        <w:tc>
          <w:tcPr>
            <w:tcW w:w="12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color w:val="000000"/>
                <w:kern w:val="0"/>
                <w:sz w:val="24"/>
                <w:szCs w:val="24"/>
                <w:u w:val="none"/>
                <w:lang w:val="en-US" w:eastAsia="zh-CN" w:bidi="ar"/>
              </w:rPr>
              <w:t>-30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0.89%</w:t>
            </w:r>
          </w:p>
        </w:tc>
      </w:tr>
      <w:bookmarkEnd w:id="31"/>
    </w:tbl>
    <w:p>
      <w:pPr>
        <w:pStyle w:val="4"/>
        <w:ind w:firstLine="560" w:firstLineChars="200"/>
        <w:jc w:val="left"/>
        <w:rPr>
          <w:rFonts w:ascii="宋体" w:hAnsi="宋体" w:cs="宋体"/>
          <w:b w:val="0"/>
          <w:bCs/>
        </w:rPr>
      </w:pPr>
      <w:bookmarkStart w:id="33" w:name="_Ref17825"/>
      <w:r>
        <w:rPr>
          <w:rFonts w:hint="eastAsia" w:ascii="宋体" w:hAnsi="宋体" w:cs="宋体"/>
          <w:b w:val="0"/>
          <w:bCs/>
          <w:lang w:eastAsia="zh-CN"/>
        </w:rPr>
        <w:t>毕业生招生生源与就业去向有一定的差异，如浙江省净流入</w:t>
      </w:r>
      <w:r>
        <w:rPr>
          <w:rFonts w:hint="eastAsia" w:ascii="宋体" w:hAnsi="宋体" w:cs="宋体"/>
          <w:b w:val="0"/>
          <w:bCs/>
          <w:lang w:val="en-US" w:eastAsia="zh-CN"/>
        </w:rPr>
        <w:t>103人，上海净流入15人；新疆地区净流出30人、黑龙江净流出16人。</w:t>
      </w:r>
      <w:r>
        <w:rPr>
          <w:rFonts w:hint="eastAsia" w:ascii="宋体" w:hAnsi="宋体" w:cs="宋体"/>
          <w:b w:val="0"/>
          <w:bCs/>
        </w:rPr>
        <w:t>就业地区流向主要集中在华东地区，其中浙江省就业</w:t>
      </w:r>
      <w:r>
        <w:rPr>
          <w:rFonts w:hint="eastAsia" w:ascii="宋体" w:hAnsi="宋体" w:cs="宋体"/>
          <w:b w:val="0"/>
          <w:bCs/>
          <w:lang w:val="en-US" w:eastAsia="zh-CN"/>
        </w:rPr>
        <w:t>1929</w:t>
      </w:r>
      <w:r>
        <w:rPr>
          <w:rFonts w:hint="eastAsia" w:ascii="宋体" w:hAnsi="宋体" w:cs="宋体"/>
          <w:b w:val="0"/>
          <w:bCs/>
        </w:rPr>
        <w:t>人，占全体已就业总数的</w:t>
      </w:r>
      <w:r>
        <w:rPr>
          <w:rFonts w:hint="eastAsia" w:ascii="宋体" w:hAnsi="宋体" w:cs="宋体"/>
          <w:b w:val="0"/>
          <w:bCs/>
          <w:lang w:val="en-US" w:eastAsia="zh-CN"/>
        </w:rPr>
        <w:t>90.06</w:t>
      </w:r>
      <w:r>
        <w:rPr>
          <w:rFonts w:hint="eastAsia" w:ascii="宋体" w:hAnsi="宋体" w:cs="宋体"/>
          <w:b w:val="0"/>
          <w:bCs/>
        </w:rPr>
        <w:t>%</w:t>
      </w:r>
      <w:r>
        <w:rPr>
          <w:rFonts w:hint="eastAsia" w:ascii="宋体" w:hAnsi="宋体" w:cs="宋体"/>
          <w:b w:val="0"/>
          <w:bCs/>
          <w:lang w:eastAsia="zh-CN"/>
        </w:rPr>
        <w:t>。</w:t>
      </w:r>
      <w:r>
        <w:rPr>
          <w:rFonts w:hint="eastAsia" w:ascii="宋体" w:hAnsi="宋体" w:cs="宋体"/>
          <w:b w:val="0"/>
          <w:bCs/>
        </w:rPr>
        <w:t>省内以杭州市就业人数最多，共</w:t>
      </w:r>
      <w:r>
        <w:rPr>
          <w:rFonts w:hint="eastAsia" w:ascii="宋体" w:hAnsi="宋体" w:cs="宋体"/>
          <w:b w:val="0"/>
          <w:bCs/>
          <w:lang w:val="en-US" w:eastAsia="zh-CN"/>
        </w:rPr>
        <w:t>885</w:t>
      </w:r>
      <w:r>
        <w:rPr>
          <w:rFonts w:hint="eastAsia" w:ascii="宋体" w:hAnsi="宋体" w:cs="宋体"/>
          <w:b w:val="0"/>
          <w:bCs/>
        </w:rPr>
        <w:t>人，占在浙就业总数的</w:t>
      </w:r>
      <w:r>
        <w:rPr>
          <w:rFonts w:hint="eastAsia" w:ascii="宋体" w:hAnsi="宋体" w:cs="宋体"/>
          <w:b w:val="0"/>
          <w:bCs/>
          <w:lang w:val="en-US" w:eastAsia="zh-CN"/>
        </w:rPr>
        <w:t>45.88</w:t>
      </w:r>
      <w:r>
        <w:rPr>
          <w:rFonts w:hint="eastAsia" w:ascii="宋体" w:hAnsi="宋体" w:cs="宋体"/>
          <w:b w:val="0"/>
          <w:bCs/>
        </w:rPr>
        <w:t>%，占全体已就业总数的</w:t>
      </w:r>
      <w:r>
        <w:rPr>
          <w:rFonts w:hint="eastAsia" w:ascii="宋体" w:hAnsi="宋体" w:cs="宋体"/>
          <w:b w:val="0"/>
          <w:bCs/>
          <w:lang w:val="en-US" w:eastAsia="zh-CN"/>
        </w:rPr>
        <w:t>41.32</w:t>
      </w:r>
      <w:r>
        <w:rPr>
          <w:rFonts w:hint="eastAsia" w:ascii="宋体" w:hAnsi="宋体" w:cs="宋体"/>
          <w:b w:val="0"/>
          <w:bCs/>
        </w:rPr>
        <w:t>%。</w:t>
      </w:r>
    </w:p>
    <w:p>
      <w:pPr>
        <w:pStyle w:val="4"/>
        <w:rPr>
          <w:rFonts w:ascii="宋体" w:hAnsi="宋体" w:cs="宋体"/>
        </w:rPr>
      </w:pPr>
      <w:r>
        <w:t xml:space="preserve">表 </w:t>
      </w:r>
      <w:r>
        <w:fldChar w:fldCharType="begin"/>
      </w:r>
      <w:r>
        <w:instrText xml:space="preserve"> SEQ 表 \* ARABIC </w:instrText>
      </w:r>
      <w:r>
        <w:fldChar w:fldCharType="separate"/>
      </w:r>
      <w:r>
        <w:t>11</w:t>
      </w:r>
      <w:r>
        <w:fldChar w:fldCharType="end"/>
      </w:r>
      <w:bookmarkEnd w:id="33"/>
      <w:bookmarkStart w:id="34" w:name="_Toc16977"/>
      <w:bookmarkStart w:id="35" w:name="_Toc9786"/>
      <w:r>
        <w:rPr>
          <w:rFonts w:hint="eastAsia"/>
        </w:rPr>
        <w:t xml:space="preserve"> </w:t>
      </w:r>
      <w:r>
        <w:rPr>
          <w:rFonts w:hint="eastAsia" w:ascii="宋体" w:hAnsi="宋体" w:cs="宋体"/>
        </w:rPr>
        <w:t>2018届毕业生就业地区流向（浙江省）</w:t>
      </w:r>
      <w:bookmarkEnd w:id="34"/>
      <w:bookmarkEnd w:id="35"/>
    </w:p>
    <w:tbl>
      <w:tblPr>
        <w:tblStyle w:val="8"/>
        <w:tblW w:w="8033" w:type="dxa"/>
        <w:jc w:val="center"/>
        <w:tblInd w:w="0" w:type="dxa"/>
        <w:tblLayout w:type="fixed"/>
        <w:tblCellMar>
          <w:top w:w="0" w:type="dxa"/>
          <w:left w:w="108" w:type="dxa"/>
          <w:bottom w:w="0" w:type="dxa"/>
          <w:right w:w="108" w:type="dxa"/>
        </w:tblCellMar>
      </w:tblPr>
      <w:tblGrid>
        <w:gridCol w:w="1967"/>
        <w:gridCol w:w="1668"/>
        <w:gridCol w:w="2018"/>
        <w:gridCol w:w="2380"/>
      </w:tblGrid>
      <w:tr>
        <w:tblPrEx>
          <w:tblLayout w:type="fixed"/>
          <w:tblCellMar>
            <w:top w:w="0" w:type="dxa"/>
            <w:left w:w="108" w:type="dxa"/>
            <w:bottom w:w="0" w:type="dxa"/>
            <w:right w:w="108" w:type="dxa"/>
          </w:tblCellMar>
        </w:tblPrEx>
        <w:trPr>
          <w:trHeight w:val="375" w:hRule="atLeast"/>
          <w:jc w:val="center"/>
        </w:trPr>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4"/>
              </w:rPr>
            </w:pPr>
            <w:r>
              <w:rPr>
                <w:rFonts w:hint="eastAsia"/>
                <w:b/>
                <w:bCs/>
                <w:sz w:val="24"/>
              </w:rPr>
              <w:t>地区</w:t>
            </w:r>
          </w:p>
        </w:tc>
        <w:tc>
          <w:tcPr>
            <w:tcW w:w="1668" w:type="dxa"/>
            <w:tcBorders>
              <w:top w:val="single" w:color="auto" w:sz="4" w:space="0"/>
              <w:left w:val="nil"/>
              <w:bottom w:val="single" w:color="auto" w:sz="4" w:space="0"/>
              <w:right w:val="single" w:color="auto" w:sz="4" w:space="0"/>
            </w:tcBorders>
            <w:vAlign w:val="center"/>
          </w:tcPr>
          <w:p>
            <w:pPr>
              <w:spacing w:line="360" w:lineRule="auto"/>
              <w:jc w:val="center"/>
              <w:rPr>
                <w:b/>
                <w:bCs/>
                <w:sz w:val="24"/>
              </w:rPr>
            </w:pPr>
            <w:r>
              <w:rPr>
                <w:rFonts w:hint="eastAsia"/>
                <w:b/>
                <w:bCs/>
                <w:sz w:val="24"/>
              </w:rPr>
              <w:t>人数</w:t>
            </w:r>
          </w:p>
        </w:tc>
        <w:tc>
          <w:tcPr>
            <w:tcW w:w="2018" w:type="dxa"/>
            <w:tcBorders>
              <w:top w:val="single" w:color="auto" w:sz="4" w:space="0"/>
              <w:left w:val="nil"/>
              <w:bottom w:val="single" w:color="auto" w:sz="4" w:space="0"/>
              <w:right w:val="single" w:color="auto" w:sz="4" w:space="0"/>
            </w:tcBorders>
            <w:vAlign w:val="center"/>
          </w:tcPr>
          <w:p>
            <w:pPr>
              <w:jc w:val="center"/>
              <w:rPr>
                <w:b/>
                <w:bCs/>
                <w:sz w:val="24"/>
              </w:rPr>
            </w:pPr>
            <w:r>
              <w:rPr>
                <w:rFonts w:hint="eastAsia"/>
                <w:b/>
                <w:bCs/>
                <w:sz w:val="24"/>
              </w:rPr>
              <w:t>占在浙就业总数的比例</w:t>
            </w:r>
          </w:p>
        </w:tc>
        <w:tc>
          <w:tcPr>
            <w:tcW w:w="2380" w:type="dxa"/>
            <w:tcBorders>
              <w:top w:val="single" w:color="auto" w:sz="4" w:space="0"/>
              <w:left w:val="nil"/>
              <w:bottom w:val="single" w:color="auto" w:sz="4" w:space="0"/>
              <w:right w:val="single" w:color="auto" w:sz="4" w:space="0"/>
            </w:tcBorders>
            <w:vAlign w:val="center"/>
          </w:tcPr>
          <w:p>
            <w:pPr>
              <w:jc w:val="center"/>
              <w:rPr>
                <w:b/>
                <w:bCs/>
                <w:sz w:val="24"/>
              </w:rPr>
            </w:pPr>
            <w:r>
              <w:rPr>
                <w:rFonts w:hint="eastAsia"/>
                <w:b/>
                <w:bCs/>
                <w:sz w:val="24"/>
              </w:rPr>
              <w:t>占全体已就业总数的比例</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杭州市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885</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45.88%</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41.32%</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宁波市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191</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9.90%</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8.92%</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温州市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169</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8.76%</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7.89%</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台州市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137</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7.10%</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6.40%</w:t>
            </w:r>
          </w:p>
        </w:tc>
      </w:tr>
      <w:tr>
        <w:tblPrEx>
          <w:tblLayout w:type="fixed"/>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绍兴市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129</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6.69%</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6.02%</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金华市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112</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5.81%</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5.23%</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嘉兴市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108</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5.60%</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5.04%</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丽水市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74</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3.84%</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3.45%</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湖州市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68</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3.53%</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3.17%</w:t>
            </w:r>
          </w:p>
        </w:tc>
      </w:tr>
      <w:tr>
        <w:tblPrEx>
          <w:tblLayout w:type="fixed"/>
          <w:tblCellMar>
            <w:top w:w="0" w:type="dxa"/>
            <w:left w:w="108" w:type="dxa"/>
            <w:bottom w:w="0" w:type="dxa"/>
            <w:right w:w="108" w:type="dxa"/>
          </w:tblCellMar>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衢州市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39</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2.02%</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1.82%</w:t>
            </w:r>
          </w:p>
        </w:tc>
      </w:tr>
      <w:tr>
        <w:tblPrEx>
          <w:tblLayout w:type="fixed"/>
        </w:tblPrEx>
        <w:trPr>
          <w:trHeight w:val="454" w:hRule="exact"/>
          <w:jc w:val="center"/>
        </w:trPr>
        <w:tc>
          <w:tcPr>
            <w:tcW w:w="19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舟山市</w:t>
            </w:r>
          </w:p>
        </w:tc>
        <w:tc>
          <w:tcPr>
            <w:tcW w:w="166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rFonts w:hint="eastAsia"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17</w:t>
            </w:r>
          </w:p>
        </w:tc>
        <w:tc>
          <w:tcPr>
            <w:tcW w:w="20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top"/>
              <w:rPr>
                <w:sz w:val="24"/>
                <w:szCs w:val="24"/>
              </w:rPr>
            </w:pPr>
            <w:r>
              <w:rPr>
                <w:rFonts w:hint="eastAsia" w:ascii="宋体" w:hAnsi="宋体" w:eastAsia="宋体" w:cs="宋体"/>
                <w:i w:val="0"/>
                <w:color w:val="000000"/>
                <w:kern w:val="0"/>
                <w:sz w:val="24"/>
                <w:szCs w:val="24"/>
                <w:u w:val="none"/>
                <w:lang w:val="en-US" w:eastAsia="zh-CN" w:bidi="ar"/>
              </w:rPr>
              <w:t>0.88%</w:t>
            </w:r>
          </w:p>
        </w:tc>
        <w:tc>
          <w:tcPr>
            <w:tcW w:w="2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0.79%</w:t>
            </w:r>
          </w:p>
        </w:tc>
      </w:tr>
    </w:tbl>
    <w:p>
      <w:pPr>
        <w:keepNext/>
        <w:keepLines/>
        <w:spacing w:line="360" w:lineRule="auto"/>
        <w:ind w:firstLine="602" w:firstLineChars="200"/>
        <w:outlineLvl w:val="0"/>
        <w:rPr>
          <w:rFonts w:hint="eastAsia" w:ascii="黑体" w:hAnsi="黑体" w:eastAsia="黑体" w:cs="黑体"/>
          <w:b/>
          <w:kern w:val="44"/>
          <w:sz w:val="30"/>
          <w:szCs w:val="30"/>
        </w:rPr>
      </w:pPr>
      <w:bookmarkStart w:id="36" w:name="_Toc15365_WPSOffice_Level1"/>
      <w:bookmarkStart w:id="37" w:name="_Toc3115_WPSOffice_Level1"/>
      <w:bookmarkStart w:id="38" w:name="_Toc32194"/>
    </w:p>
    <w:p>
      <w:pPr>
        <w:keepNext/>
        <w:keepLines/>
        <w:spacing w:line="360" w:lineRule="auto"/>
        <w:ind w:firstLine="602" w:firstLineChars="200"/>
        <w:outlineLvl w:val="0"/>
        <w:rPr>
          <w:rFonts w:ascii="黑体" w:hAnsi="黑体" w:eastAsia="黑体" w:cs="黑体"/>
          <w:b/>
          <w:kern w:val="44"/>
          <w:sz w:val="30"/>
          <w:szCs w:val="30"/>
        </w:rPr>
      </w:pPr>
      <w:bookmarkStart w:id="39" w:name="_Toc23391_WPSOffice_Level1"/>
      <w:r>
        <w:rPr>
          <w:rFonts w:hint="eastAsia" w:ascii="黑体" w:hAnsi="黑体" w:eastAsia="黑体" w:cs="黑体"/>
          <w:b/>
          <w:kern w:val="44"/>
          <w:sz w:val="30"/>
          <w:szCs w:val="30"/>
        </w:rPr>
        <w:t>二、近四年毕业生就业简要情况</w:t>
      </w:r>
      <w:bookmarkEnd w:id="36"/>
      <w:bookmarkEnd w:id="37"/>
      <w:bookmarkEnd w:id="38"/>
      <w:bookmarkEnd w:id="39"/>
    </w:p>
    <w:p>
      <w:pPr>
        <w:keepNext/>
        <w:keepLines/>
        <w:spacing w:line="360" w:lineRule="auto"/>
        <w:ind w:firstLine="562" w:firstLineChars="200"/>
        <w:outlineLvl w:val="1"/>
        <w:rPr>
          <w:rFonts w:ascii="黑体" w:hAnsi="黑体" w:eastAsia="黑体" w:cs="黑体"/>
          <w:b/>
        </w:rPr>
      </w:pPr>
      <w:bookmarkStart w:id="40" w:name="_Toc2245"/>
      <w:bookmarkStart w:id="41" w:name="_Toc6180_WPSOffice_Level2"/>
      <w:bookmarkStart w:id="42" w:name="_Toc6654_WPSOffice_Level2"/>
      <w:r>
        <w:rPr>
          <w:rFonts w:hint="eastAsia" w:ascii="黑体" w:hAnsi="黑体" w:eastAsia="黑体" w:cs="黑体"/>
          <w:b/>
        </w:rPr>
        <w:t>（一）近四年毕业生就业整体趋势</w:t>
      </w:r>
      <w:bookmarkEnd w:id="40"/>
      <w:bookmarkEnd w:id="41"/>
      <w:bookmarkEnd w:id="42"/>
    </w:p>
    <w:p>
      <w:pPr>
        <w:pStyle w:val="4"/>
        <w:rPr>
          <w:rFonts w:hint="eastAsia" w:eastAsia="宋体"/>
          <w:b/>
          <w:lang w:eastAsia="zh-CN"/>
        </w:rPr>
      </w:pPr>
      <w:r>
        <w:rPr>
          <w:rFonts w:hint="eastAsia" w:eastAsia="宋体"/>
          <w:b/>
          <w:lang w:eastAsia="zh-CN"/>
        </w:rPr>
        <w:drawing>
          <wp:inline distT="0" distB="0" distL="114300" distR="114300">
            <wp:extent cx="5208270" cy="2804795"/>
            <wp:effectExtent l="0" t="0" r="3810"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rPr>
          <w:rFonts w:ascii="宋体" w:hAnsi="宋体" w:cs="宋体"/>
        </w:rPr>
      </w:pPr>
      <w:bookmarkStart w:id="43" w:name="_Ref14082"/>
      <w:r>
        <w:t xml:space="preserve">图 </w:t>
      </w:r>
      <w:r>
        <w:fldChar w:fldCharType="begin"/>
      </w:r>
      <w:r>
        <w:instrText xml:space="preserve"> SEQ 图 \* ARABIC </w:instrText>
      </w:r>
      <w:r>
        <w:fldChar w:fldCharType="separate"/>
      </w:r>
      <w:r>
        <w:t>1</w:t>
      </w:r>
      <w:r>
        <w:fldChar w:fldCharType="end"/>
      </w:r>
      <w:bookmarkEnd w:id="43"/>
      <w:bookmarkStart w:id="44" w:name="_Toc22157"/>
      <w:bookmarkStart w:id="45" w:name="_Toc7140"/>
      <w:r>
        <w:rPr>
          <w:rFonts w:hint="eastAsia" w:ascii="宋体" w:hAnsi="宋体" w:cs="宋体"/>
        </w:rPr>
        <w:t>近四年我院毕业生</w:t>
      </w:r>
      <w:r>
        <w:rPr>
          <w:rFonts w:hint="eastAsia" w:ascii="宋体" w:hAnsi="宋体" w:cs="宋体"/>
          <w:lang w:eastAsia="zh-CN"/>
        </w:rPr>
        <w:t>就业率、</w:t>
      </w:r>
      <w:r>
        <w:rPr>
          <w:rFonts w:hint="eastAsia" w:ascii="宋体" w:hAnsi="宋体" w:cs="宋体"/>
        </w:rPr>
        <w:t>签约率走势图</w:t>
      </w:r>
      <w:bookmarkEnd w:id="44"/>
      <w:bookmarkEnd w:id="45"/>
    </w:p>
    <w:p>
      <w:pPr>
        <w:adjustRightInd w:val="0"/>
        <w:snapToGrid w:val="0"/>
        <w:spacing w:line="500" w:lineRule="exact"/>
        <w:ind w:firstLine="560" w:firstLineChars="200"/>
      </w:pPr>
      <w:bookmarkStart w:id="46" w:name="_Toc25192"/>
      <w:r>
        <w:rPr>
          <w:rFonts w:hint="eastAsia"/>
        </w:rPr>
        <w:t>近四年，我院毕业生就业率整体稳定，维持在95%以上，居全省独立学院前列</w:t>
      </w:r>
      <w:r>
        <w:rPr>
          <w:rFonts w:hint="eastAsia"/>
          <w:lang w:eastAsia="zh-CN"/>
        </w:rPr>
        <w:t>，</w:t>
      </w:r>
      <w:r>
        <w:rPr>
          <w:rFonts w:hint="eastAsia"/>
        </w:rPr>
        <w:t>签约率保持上升趋势</w:t>
      </w:r>
      <w:r>
        <w:rPr>
          <w:rFonts w:hint="eastAsia"/>
          <w:lang w:eastAsia="zh-CN"/>
        </w:rPr>
        <w:t>，就业质量不断提高</w:t>
      </w:r>
      <w:r>
        <w:rPr>
          <w:rFonts w:hint="eastAsia"/>
        </w:rPr>
        <w:t>。具体如</w:t>
      </w:r>
      <w:r>
        <w:rPr>
          <w:rFonts w:hint="eastAsia"/>
          <w:lang w:eastAsia="zh-CN"/>
        </w:rPr>
        <w:fldChar w:fldCharType="begin"/>
      </w:r>
      <w:r>
        <w:rPr>
          <w:rFonts w:hint="eastAsia"/>
          <w:lang w:eastAsia="zh-CN"/>
        </w:rPr>
        <w:instrText xml:space="preserve"> REF _Ref14082 \h </w:instrText>
      </w:r>
      <w:r>
        <w:rPr>
          <w:rFonts w:hint="eastAsia"/>
          <w:lang w:eastAsia="zh-CN"/>
        </w:rPr>
        <w:fldChar w:fldCharType="separate"/>
      </w:r>
      <w:r>
        <w:t>图 1</w:t>
      </w:r>
      <w:r>
        <w:rPr>
          <w:rFonts w:hint="eastAsia"/>
          <w:lang w:eastAsia="zh-CN"/>
        </w:rPr>
        <w:fldChar w:fldCharType="end"/>
      </w:r>
      <w:r>
        <w:rPr>
          <w:rFonts w:hint="eastAsia"/>
        </w:rPr>
        <w:t>所示。</w:t>
      </w:r>
    </w:p>
    <w:p/>
    <w:p>
      <w:pPr>
        <w:keepNext/>
        <w:keepLines/>
        <w:spacing w:line="360" w:lineRule="auto"/>
        <w:ind w:firstLine="562" w:firstLineChars="200"/>
        <w:outlineLvl w:val="1"/>
        <w:rPr>
          <w:rFonts w:ascii="黑体" w:hAnsi="黑体" w:eastAsia="黑体" w:cs="黑体"/>
          <w:b/>
        </w:rPr>
      </w:pPr>
      <w:bookmarkStart w:id="47" w:name="_Toc32457_WPSOffice_Level2"/>
      <w:bookmarkStart w:id="48" w:name="_Toc7039_WPSOffice_Level2"/>
      <w:r>
        <w:rPr>
          <w:rFonts w:hint="eastAsia" w:ascii="黑体" w:hAnsi="黑体" w:eastAsia="黑体" w:cs="黑体"/>
          <w:b/>
        </w:rPr>
        <w:t>（二）近四年毕业生升学、出国深造趋势</w:t>
      </w:r>
      <w:bookmarkEnd w:id="46"/>
      <w:bookmarkEnd w:id="47"/>
      <w:bookmarkEnd w:id="48"/>
    </w:p>
    <w:p>
      <w:pPr>
        <w:adjustRightInd w:val="0"/>
        <w:snapToGrid w:val="0"/>
        <w:spacing w:line="500" w:lineRule="exact"/>
        <w:ind w:firstLine="560" w:firstLineChars="200"/>
      </w:pPr>
      <w:r>
        <w:rPr>
          <w:rFonts w:hint="eastAsia"/>
        </w:rPr>
        <w:t>近四年，我院毕业生国内外考研升学率逐步提升，增长明显，2018年达到了6.45%。其中，国内考研率增长趋势良好，</w:t>
      </w:r>
      <w:r>
        <w:rPr>
          <w:rFonts w:hint="eastAsia"/>
          <w:lang w:eastAsia="zh-CN"/>
        </w:rPr>
        <w:t>国外</w:t>
      </w:r>
      <w:r>
        <w:rPr>
          <w:rFonts w:hint="eastAsia"/>
        </w:rPr>
        <w:t>深造率相对较低，且有一定起伏，具体如</w:t>
      </w:r>
      <w:r>
        <w:rPr>
          <w:rFonts w:hint="eastAsia"/>
          <w:lang w:eastAsia="zh-CN"/>
        </w:rPr>
        <w:fldChar w:fldCharType="begin"/>
      </w:r>
      <w:r>
        <w:rPr>
          <w:rFonts w:hint="eastAsia"/>
          <w:lang w:eastAsia="zh-CN"/>
        </w:rPr>
        <w:instrText xml:space="preserve"> REF _Ref14161 \h </w:instrText>
      </w:r>
      <w:r>
        <w:rPr>
          <w:rFonts w:hint="eastAsia"/>
          <w:lang w:eastAsia="zh-CN"/>
        </w:rPr>
        <w:fldChar w:fldCharType="separate"/>
      </w:r>
      <w:r>
        <w:t>图 2</w:t>
      </w:r>
      <w:r>
        <w:rPr>
          <w:rFonts w:hint="eastAsia"/>
          <w:lang w:eastAsia="zh-CN"/>
        </w:rPr>
        <w:fldChar w:fldCharType="end"/>
      </w:r>
      <w:r>
        <w:rPr>
          <w:rFonts w:hint="eastAsia"/>
          <w:lang w:eastAsia="zh-CN"/>
        </w:rPr>
        <w:t>、</w:t>
      </w:r>
      <w:r>
        <w:rPr>
          <w:rFonts w:hint="eastAsia"/>
          <w:lang w:eastAsia="zh-CN"/>
        </w:rPr>
        <w:fldChar w:fldCharType="begin"/>
      </w:r>
      <w:r>
        <w:rPr>
          <w:rFonts w:hint="eastAsia"/>
          <w:lang w:eastAsia="zh-CN"/>
        </w:rPr>
        <w:instrText xml:space="preserve"> REF _Ref14164 \h </w:instrText>
      </w:r>
      <w:r>
        <w:rPr>
          <w:rFonts w:hint="eastAsia"/>
          <w:lang w:eastAsia="zh-CN"/>
        </w:rPr>
        <w:fldChar w:fldCharType="separate"/>
      </w:r>
      <w:r>
        <w:t>图 3</w:t>
      </w:r>
      <w:r>
        <w:rPr>
          <w:rFonts w:hint="eastAsia"/>
          <w:lang w:eastAsia="zh-CN"/>
        </w:rPr>
        <w:fldChar w:fldCharType="end"/>
      </w:r>
      <w:r>
        <w:rPr>
          <w:rFonts w:hint="eastAsia"/>
        </w:rPr>
        <w:t>所示。</w:t>
      </w:r>
    </w:p>
    <w:p>
      <w:pPr>
        <w:spacing w:line="360" w:lineRule="auto"/>
        <w:jc w:val="center"/>
      </w:pPr>
      <w:r>
        <w:rPr>
          <w:rFonts w:hint="eastAsia"/>
        </w:rPr>
        <w:drawing>
          <wp:inline distT="0" distB="0" distL="114300" distR="114300">
            <wp:extent cx="5276850" cy="2266950"/>
            <wp:effectExtent l="0" t="0" r="11430" b="3810"/>
            <wp:docPr id="3"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spacing w:line="360" w:lineRule="auto"/>
        <w:jc w:val="center"/>
        <w:rPr>
          <w:b/>
        </w:rPr>
      </w:pPr>
      <w:bookmarkStart w:id="49" w:name="_Ref14161"/>
      <w:bookmarkStart w:id="50" w:name="_Toc28185"/>
      <w:r>
        <w:t xml:space="preserve">图 </w:t>
      </w:r>
      <w:r>
        <w:fldChar w:fldCharType="begin"/>
      </w:r>
      <w:r>
        <w:instrText xml:space="preserve"> SEQ 图 \* ARABIC </w:instrText>
      </w:r>
      <w:r>
        <w:fldChar w:fldCharType="separate"/>
      </w:r>
      <w:r>
        <w:t>2</w:t>
      </w:r>
      <w:r>
        <w:fldChar w:fldCharType="end"/>
      </w:r>
      <w:bookmarkEnd w:id="49"/>
      <w:bookmarkStart w:id="51" w:name="_Toc9667"/>
      <w:bookmarkStart w:id="52" w:name="_Toc13905"/>
      <w:r>
        <w:rPr>
          <w:rFonts w:hint="eastAsia"/>
          <w:b/>
        </w:rPr>
        <w:t xml:space="preserve"> 近四年我院毕业生国内外考研升学率走势图</w:t>
      </w:r>
      <w:bookmarkEnd w:id="50"/>
      <w:bookmarkEnd w:id="51"/>
      <w:bookmarkEnd w:id="52"/>
    </w:p>
    <w:p>
      <w:pPr>
        <w:pStyle w:val="4"/>
        <w:jc w:val="center"/>
        <w:rPr>
          <w:rFonts w:hint="eastAsia" w:eastAsia="宋体"/>
          <w:b/>
          <w:lang w:eastAsia="zh-CN"/>
        </w:rPr>
      </w:pPr>
      <w:bookmarkStart w:id="53" w:name="_Toc15447"/>
      <w:r>
        <w:rPr>
          <w:rFonts w:hint="eastAsia" w:eastAsia="宋体"/>
          <w:b/>
          <w:lang w:eastAsia="zh-CN"/>
        </w:rPr>
        <w:drawing>
          <wp:inline distT="0" distB="0" distL="114300" distR="114300">
            <wp:extent cx="4696460" cy="2442210"/>
            <wp:effectExtent l="0" t="0" r="12700" b="1143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4"/>
        <w:jc w:val="center"/>
        <w:rPr>
          <w:rFonts w:ascii="宋体" w:hAnsi="宋体" w:cs="宋体"/>
        </w:rPr>
      </w:pPr>
      <w:bookmarkStart w:id="54" w:name="_Ref14164"/>
      <w:bookmarkStart w:id="55" w:name="_Toc26737"/>
      <w:r>
        <w:t xml:space="preserve">图 </w:t>
      </w:r>
      <w:r>
        <w:fldChar w:fldCharType="begin"/>
      </w:r>
      <w:r>
        <w:instrText xml:space="preserve"> SEQ 图 \* ARABIC </w:instrText>
      </w:r>
      <w:r>
        <w:fldChar w:fldCharType="separate"/>
      </w:r>
      <w:r>
        <w:t>3</w:t>
      </w:r>
      <w:r>
        <w:fldChar w:fldCharType="end"/>
      </w:r>
      <w:bookmarkEnd w:id="54"/>
      <w:bookmarkStart w:id="56" w:name="_Toc13142"/>
      <w:bookmarkStart w:id="57" w:name="_Toc12115"/>
      <w:r>
        <w:rPr>
          <w:rFonts w:hint="eastAsia" w:ascii="宋体" w:hAnsi="宋体" w:cs="宋体"/>
        </w:rPr>
        <w:t xml:space="preserve"> 近四年我院毕业生国内升学率</w:t>
      </w:r>
      <w:r>
        <w:rPr>
          <w:rFonts w:hint="eastAsia" w:ascii="宋体" w:hAnsi="宋体" w:cs="宋体"/>
          <w:lang w:eastAsia="zh-CN"/>
        </w:rPr>
        <w:t>、国外深造率</w:t>
      </w:r>
      <w:r>
        <w:rPr>
          <w:rFonts w:hint="eastAsia" w:ascii="宋体" w:hAnsi="宋体" w:cs="宋体"/>
        </w:rPr>
        <w:t>走势图</w:t>
      </w:r>
      <w:bookmarkEnd w:id="53"/>
      <w:bookmarkEnd w:id="55"/>
      <w:bookmarkEnd w:id="56"/>
      <w:bookmarkEnd w:id="57"/>
    </w:p>
    <w:p>
      <w:pPr>
        <w:spacing w:line="360" w:lineRule="auto"/>
        <w:jc w:val="center"/>
        <w:rPr>
          <w:b/>
        </w:rPr>
      </w:pPr>
    </w:p>
    <w:p>
      <w:pPr>
        <w:keepNext/>
        <w:keepLines/>
        <w:spacing w:line="360" w:lineRule="auto"/>
        <w:ind w:firstLine="562" w:firstLineChars="200"/>
        <w:outlineLvl w:val="1"/>
        <w:rPr>
          <w:rFonts w:ascii="黑体" w:hAnsi="黑体" w:eastAsia="黑体" w:cs="黑体"/>
          <w:b/>
        </w:rPr>
      </w:pPr>
      <w:bookmarkStart w:id="58" w:name="_Toc112"/>
      <w:bookmarkStart w:id="59" w:name="_Toc8508_WPSOffice_Level2"/>
      <w:bookmarkStart w:id="60" w:name="_Toc5369_WPSOffice_Level2"/>
      <w:r>
        <w:rPr>
          <w:rFonts w:hint="eastAsia" w:ascii="黑体" w:hAnsi="黑体" w:eastAsia="黑体" w:cs="黑体"/>
          <w:b/>
        </w:rPr>
        <w:t>（三）近四年毕业生就业地区流向趋势</w:t>
      </w:r>
      <w:bookmarkEnd w:id="58"/>
      <w:bookmarkEnd w:id="59"/>
      <w:bookmarkEnd w:id="60"/>
    </w:p>
    <w:p>
      <w:pPr>
        <w:adjustRightInd w:val="0"/>
        <w:snapToGrid w:val="0"/>
        <w:spacing w:line="500" w:lineRule="exact"/>
        <w:ind w:firstLine="560" w:firstLineChars="200"/>
        <w:jc w:val="center"/>
        <w:rPr>
          <w:rFonts w:hint="eastAsia"/>
        </w:rPr>
      </w:pPr>
      <w:r>
        <w:rPr>
          <w:rFonts w:hint="eastAsia"/>
        </w:rPr>
        <w:t>近四年，我院毕业生就业地区主要以浙江省为主，</w:t>
      </w:r>
      <w:r>
        <w:rPr>
          <w:rFonts w:hint="eastAsia"/>
          <w:lang w:eastAsia="zh-CN"/>
        </w:rPr>
        <w:t>每年</w:t>
      </w:r>
      <w:r>
        <w:rPr>
          <w:rFonts w:hint="eastAsia"/>
        </w:rPr>
        <w:t>在浙工作比例</w:t>
      </w:r>
      <w:r>
        <w:rPr>
          <w:rFonts w:hint="eastAsia"/>
          <w:lang w:eastAsia="zh-CN"/>
        </w:rPr>
        <w:t>均</w:t>
      </w:r>
      <w:r>
        <w:rPr>
          <w:rFonts w:hint="eastAsia"/>
        </w:rPr>
        <w:t>在85%以上，表明浙江省对我院毕业生的吸引力较大，我院毕业生愿意为浙江地区的社会发展服务的意愿较高，具体如</w:t>
      </w:r>
      <w:r>
        <w:rPr>
          <w:rFonts w:hint="eastAsia"/>
          <w:lang w:eastAsia="zh-CN"/>
        </w:rPr>
        <w:fldChar w:fldCharType="begin"/>
      </w:r>
      <w:r>
        <w:rPr>
          <w:rFonts w:hint="eastAsia"/>
          <w:lang w:eastAsia="zh-CN"/>
        </w:rPr>
        <w:instrText xml:space="preserve"> REF _Ref20750 \h </w:instrText>
      </w:r>
      <w:r>
        <w:rPr>
          <w:rFonts w:hint="eastAsia"/>
          <w:lang w:eastAsia="zh-CN"/>
        </w:rPr>
        <w:fldChar w:fldCharType="separate"/>
      </w:r>
      <w:r>
        <w:t>图 4</w:t>
      </w:r>
      <w:r>
        <w:rPr>
          <w:rFonts w:hint="eastAsia"/>
          <w:lang w:eastAsia="zh-CN"/>
        </w:rPr>
        <w:fldChar w:fldCharType="end"/>
      </w:r>
      <w:r>
        <w:rPr>
          <w:rFonts w:hint="eastAsia"/>
        </w:rPr>
        <w:t>所示。</w:t>
      </w:r>
      <w:bookmarkStart w:id="61" w:name="_Toc676"/>
      <w:bookmarkStart w:id="62" w:name="_Toc20928"/>
    </w:p>
    <w:p>
      <w:pPr>
        <w:pStyle w:val="4"/>
        <w:jc w:val="center"/>
      </w:pPr>
      <w:r>
        <w:rPr>
          <w:rFonts w:hint="eastAsia"/>
          <w:lang w:eastAsia="zh-CN"/>
        </w:rPr>
        <w:drawing>
          <wp:anchor distT="0" distB="0" distL="114300" distR="114300" simplePos="0" relativeHeight="251658240" behindDoc="1" locked="0" layoutInCell="1" allowOverlap="1">
            <wp:simplePos x="0" y="0"/>
            <wp:positionH relativeFrom="column">
              <wp:posOffset>163195</wp:posOffset>
            </wp:positionH>
            <wp:positionV relativeFrom="paragraph">
              <wp:posOffset>140970</wp:posOffset>
            </wp:positionV>
            <wp:extent cx="5156200" cy="2454910"/>
            <wp:effectExtent l="4445" t="4445" r="5715" b="9525"/>
            <wp:wrapThrough wrapText="bothSides">
              <wp:wrapPolygon>
                <wp:start x="-19" y="-39"/>
                <wp:lineTo x="-19" y="21550"/>
                <wp:lineTo x="21560" y="21550"/>
                <wp:lineTo x="21560" y="-39"/>
                <wp:lineTo x="-19" y="-39"/>
              </wp:wrapPolygon>
            </wp:wrapThrough>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63" w:name="_Ref20750"/>
      <w:r>
        <w:t xml:space="preserve">图 </w:t>
      </w:r>
      <w:r>
        <w:fldChar w:fldCharType="begin"/>
      </w:r>
      <w:r>
        <w:instrText xml:space="preserve"> SEQ 图 \* ARABIC </w:instrText>
      </w:r>
      <w:r>
        <w:fldChar w:fldCharType="separate"/>
      </w:r>
      <w:r>
        <w:t>4</w:t>
      </w:r>
      <w:r>
        <w:fldChar w:fldCharType="end"/>
      </w:r>
      <w:bookmarkEnd w:id="63"/>
      <w:bookmarkStart w:id="64" w:name="_Toc24691"/>
      <w:bookmarkStart w:id="65" w:name="_Toc7902"/>
      <w:r>
        <w:rPr>
          <w:rFonts w:hint="eastAsia"/>
        </w:rPr>
        <w:t xml:space="preserve"> 近四年我院毕业生在浙江就业人数占比走势图</w:t>
      </w:r>
      <w:bookmarkEnd w:id="61"/>
      <w:bookmarkEnd w:id="62"/>
      <w:bookmarkEnd w:id="64"/>
      <w:bookmarkEnd w:id="65"/>
    </w:p>
    <w:p>
      <w:pPr>
        <w:ind w:firstLine="560" w:firstLineChars="200"/>
      </w:pPr>
      <w:r>
        <w:rPr>
          <w:rFonts w:hint="eastAsia"/>
        </w:rPr>
        <w:t>近四年，我院毕业生在杭州就业人数占</w:t>
      </w:r>
      <w:r>
        <w:rPr>
          <w:rFonts w:hint="eastAsia"/>
          <w:lang w:eastAsia="zh-CN"/>
        </w:rPr>
        <w:t>在浙江省就业人数的比例在</w:t>
      </w:r>
      <w:r>
        <w:rPr>
          <w:rFonts w:hint="eastAsia"/>
          <w:lang w:val="en-US" w:eastAsia="zh-CN"/>
        </w:rPr>
        <w:t>37%以上。</w:t>
      </w:r>
      <w:r>
        <w:rPr>
          <w:rFonts w:hint="eastAsia"/>
        </w:rPr>
        <w:t>具体如</w:t>
      </w:r>
      <w:r>
        <w:rPr>
          <w:rFonts w:hint="eastAsia"/>
          <w:lang w:eastAsia="zh-CN"/>
        </w:rPr>
        <w:fldChar w:fldCharType="begin"/>
      </w:r>
      <w:r>
        <w:rPr>
          <w:rFonts w:hint="eastAsia"/>
          <w:lang w:eastAsia="zh-CN"/>
        </w:rPr>
        <w:instrText xml:space="preserve"> REF _Ref20822 \h </w:instrText>
      </w:r>
      <w:r>
        <w:rPr>
          <w:rFonts w:hint="eastAsia"/>
          <w:lang w:eastAsia="zh-CN"/>
        </w:rPr>
        <w:fldChar w:fldCharType="separate"/>
      </w:r>
      <w:r>
        <w:t>图 5</w:t>
      </w:r>
      <w:r>
        <w:rPr>
          <w:rFonts w:hint="eastAsia"/>
          <w:lang w:eastAsia="zh-CN"/>
        </w:rPr>
        <w:fldChar w:fldCharType="end"/>
      </w:r>
      <w:r>
        <w:rPr>
          <w:rFonts w:hint="eastAsia"/>
        </w:rPr>
        <w:t>所示。</w:t>
      </w:r>
    </w:p>
    <w:p>
      <w:bookmarkStart w:id="66" w:name="_Ref18668"/>
      <w:bookmarkStart w:id="67" w:name="_Ref25160"/>
      <w:r>
        <w:rPr>
          <w:rFonts w:hint="eastAsia"/>
          <w:lang w:eastAsia="zh-CN"/>
        </w:rPr>
        <w:drawing>
          <wp:anchor distT="0" distB="0" distL="114300" distR="114300" simplePos="0" relativeHeight="251659264" behindDoc="1" locked="0" layoutInCell="1" allowOverlap="1">
            <wp:simplePos x="0" y="0"/>
            <wp:positionH relativeFrom="column">
              <wp:posOffset>233045</wp:posOffset>
            </wp:positionH>
            <wp:positionV relativeFrom="paragraph">
              <wp:posOffset>133985</wp:posOffset>
            </wp:positionV>
            <wp:extent cx="5156200" cy="2454910"/>
            <wp:effectExtent l="4445" t="4445" r="5715" b="9525"/>
            <wp:wrapThrough wrapText="bothSides">
              <wp:wrapPolygon>
                <wp:start x="-19" y="-39"/>
                <wp:lineTo x="-19" y="21550"/>
                <wp:lineTo x="21560" y="21550"/>
                <wp:lineTo x="21560" y="-39"/>
                <wp:lineTo x="-19" y="-39"/>
              </wp:wrapPolygon>
            </wp:wrapThrough>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
    <w:p/>
    <w:p/>
    <w:bookmarkEnd w:id="66"/>
    <w:bookmarkEnd w:id="67"/>
    <w:p>
      <w:pPr>
        <w:pStyle w:val="4"/>
        <w:rPr>
          <w:rFonts w:ascii="宋体" w:hAnsi="宋体" w:cs="宋体"/>
        </w:rPr>
      </w:pPr>
      <w:bookmarkStart w:id="68" w:name="_Ref20822"/>
      <w:bookmarkStart w:id="69" w:name="_Toc14565"/>
      <w:bookmarkStart w:id="70" w:name="_Toc10222"/>
      <w:r>
        <w:t xml:space="preserve">图 </w:t>
      </w:r>
      <w:r>
        <w:fldChar w:fldCharType="begin"/>
      </w:r>
      <w:r>
        <w:instrText xml:space="preserve"> SEQ 图 \* ARABIC </w:instrText>
      </w:r>
      <w:r>
        <w:fldChar w:fldCharType="separate"/>
      </w:r>
      <w:r>
        <w:t>5</w:t>
      </w:r>
      <w:r>
        <w:fldChar w:fldCharType="end"/>
      </w:r>
      <w:bookmarkEnd w:id="68"/>
      <w:bookmarkStart w:id="71" w:name="_Toc663"/>
      <w:bookmarkStart w:id="72" w:name="_Toc5810"/>
      <w:r>
        <w:rPr>
          <w:rFonts w:hint="eastAsia" w:ascii="宋体" w:hAnsi="宋体" w:cs="宋体"/>
        </w:rPr>
        <w:t xml:space="preserve"> 近四年我院毕业生在杭州就业人数占比走势图</w:t>
      </w:r>
      <w:bookmarkEnd w:id="69"/>
      <w:bookmarkEnd w:id="70"/>
      <w:bookmarkEnd w:id="71"/>
      <w:bookmarkEnd w:id="72"/>
    </w:p>
    <w:p>
      <w:pPr>
        <w:adjustRightInd w:val="0"/>
        <w:snapToGrid w:val="0"/>
        <w:spacing w:line="500" w:lineRule="exact"/>
        <w:ind w:firstLine="560" w:firstLineChars="200"/>
      </w:pPr>
      <w:bookmarkStart w:id="73" w:name="_Toc5296"/>
      <w:r>
        <w:rPr>
          <w:rFonts w:hint="eastAsia"/>
        </w:rPr>
        <w:t>在杭州市近四年就业人数占比呈现上下起伏趋势。2018年，毕业生在杭就业人数大幅</w:t>
      </w:r>
      <w:r>
        <w:rPr>
          <w:rFonts w:hint="eastAsia"/>
          <w:lang w:eastAsia="zh-CN"/>
        </w:rPr>
        <w:t>增加</w:t>
      </w:r>
      <w:r>
        <w:rPr>
          <w:rFonts w:hint="eastAsia"/>
        </w:rPr>
        <w:t>，达到了</w:t>
      </w:r>
      <w:r>
        <w:rPr>
          <w:rFonts w:hint="eastAsia"/>
          <w:lang w:val="en-US" w:eastAsia="zh-CN"/>
        </w:rPr>
        <w:t>45.88</w:t>
      </w:r>
      <w:r>
        <w:rPr>
          <w:rFonts w:hint="eastAsia"/>
        </w:rPr>
        <w:t>%。其中，杭州市生源人数462人，在杭州市就业人数有</w:t>
      </w:r>
      <w:r>
        <w:rPr>
          <w:rFonts w:hint="eastAsia"/>
          <w:lang w:val="en-US" w:eastAsia="zh-CN"/>
        </w:rPr>
        <w:t>885</w:t>
      </w:r>
      <w:r>
        <w:rPr>
          <w:rFonts w:hint="eastAsia"/>
        </w:rPr>
        <w:t>人，就业人数远大于生源人数。</w:t>
      </w:r>
    </w:p>
    <w:p>
      <w:pPr>
        <w:spacing w:line="360" w:lineRule="auto"/>
        <w:ind w:firstLine="560" w:firstLineChars="200"/>
        <w:rPr>
          <w:rFonts w:cs="仿宋_GB2312"/>
        </w:rPr>
      </w:pPr>
    </w:p>
    <w:p>
      <w:pPr>
        <w:pStyle w:val="2"/>
        <w:ind w:firstLine="562"/>
      </w:pPr>
      <w:bookmarkStart w:id="74" w:name="_Toc14661_WPSOffice_Level1"/>
      <w:bookmarkStart w:id="75" w:name="_Toc3936_WPSOffice_Level1"/>
      <w:bookmarkStart w:id="76" w:name="_Toc28973_WPSOffice_Level1"/>
      <w:bookmarkStart w:id="77" w:name="_Toc12786"/>
      <w:r>
        <w:rPr>
          <w:rFonts w:hint="eastAsia"/>
        </w:rPr>
        <w:t>三、2018届毕业生就业工作主要举措</w:t>
      </w:r>
      <w:bookmarkEnd w:id="74"/>
      <w:bookmarkEnd w:id="75"/>
      <w:bookmarkEnd w:id="76"/>
    </w:p>
    <w:p>
      <w:pPr>
        <w:keepNext/>
        <w:keepLines/>
        <w:spacing w:line="360" w:lineRule="auto"/>
        <w:ind w:firstLine="562" w:firstLineChars="200"/>
        <w:outlineLvl w:val="1"/>
        <w:rPr>
          <w:b/>
        </w:rPr>
      </w:pPr>
      <w:bookmarkStart w:id="78" w:name="_Toc2312_WPSOffice_Level2"/>
      <w:bookmarkStart w:id="79" w:name="_Toc19621_WPSOffice_Level2"/>
      <w:r>
        <w:rPr>
          <w:rFonts w:hint="eastAsia"/>
          <w:b/>
        </w:rPr>
        <w:t>（一）</w:t>
      </w:r>
      <w:bookmarkEnd w:id="77"/>
      <w:r>
        <w:rPr>
          <w:rFonts w:hint="eastAsia"/>
          <w:b/>
        </w:rPr>
        <w:t>改革就业评价机制，提高就业质量</w:t>
      </w:r>
      <w:bookmarkEnd w:id="78"/>
      <w:bookmarkEnd w:id="79"/>
    </w:p>
    <w:p>
      <w:pPr>
        <w:spacing w:line="360" w:lineRule="auto"/>
        <w:ind w:firstLine="560" w:firstLineChars="200"/>
      </w:pPr>
      <w:r>
        <w:rPr>
          <w:rFonts w:hint="eastAsia"/>
        </w:rPr>
        <w:t>根据浙江省高校分类评价指标，出台了《</w:t>
      </w:r>
      <w:r>
        <w:rPr>
          <w:rFonts w:hint="eastAsia"/>
          <w:lang w:eastAsia="zh-CN"/>
        </w:rPr>
        <w:t>钱江学院</w:t>
      </w:r>
      <w:r>
        <w:rPr>
          <w:rFonts w:hint="eastAsia"/>
        </w:rPr>
        <w:t>就业工作考核管理办法（试行）》，把工作着力点从提高就业率转变为提高就业质量调查水平，促进本单位人才培养的质量提升。经过共同努力，在浙江省教育评估院实施的就业质量中，2017届毕业生毕业一年的作答率达94.7%，同比增长11.1%；2015届毕业三年的作答率达76.4%，同比增长11.3%。在提高就业质量调查考核比重的同时，降低了应届生就业率考核要求为90%，更注重就业前段的人才培养和就业末段的精准服务。特别是为毕业生做好小型专业招聘会和考研、出国留学专题讲座。</w:t>
      </w:r>
    </w:p>
    <w:p>
      <w:pPr>
        <w:keepNext/>
        <w:keepLines/>
        <w:spacing w:line="360" w:lineRule="auto"/>
        <w:ind w:firstLine="562" w:firstLineChars="200"/>
        <w:outlineLvl w:val="1"/>
        <w:rPr>
          <w:b/>
        </w:rPr>
      </w:pPr>
      <w:bookmarkStart w:id="80" w:name="_Toc18539"/>
      <w:bookmarkStart w:id="81" w:name="_Toc11598_WPSOffice_Level2"/>
      <w:bookmarkStart w:id="82" w:name="_Toc7963_WPSOffice_Level2"/>
      <w:r>
        <w:rPr>
          <w:rFonts w:hint="eastAsia"/>
          <w:b/>
        </w:rPr>
        <w:t>（二）加强对学生的精准化就业指导</w:t>
      </w:r>
      <w:bookmarkEnd w:id="80"/>
      <w:bookmarkEnd w:id="81"/>
      <w:bookmarkEnd w:id="82"/>
    </w:p>
    <w:p>
      <w:pPr>
        <w:spacing w:line="360" w:lineRule="auto"/>
        <w:ind w:firstLine="560" w:firstLineChars="200"/>
      </w:pPr>
      <w:bookmarkStart w:id="83" w:name="_Toc10288"/>
      <w:r>
        <w:rPr>
          <w:rFonts w:hint="eastAsia"/>
        </w:rPr>
        <w:t>全面实施《职业生涯与就业指导》新课程体系，进一步推进大学适应性教育、职业规划教育与就业创业教育“三位一体”的教育指导，注重校内师资和校外师资的有机整合，大力提高课堂教学的实用性和针对性；就业服务指导方面，引入“杭州大学生就业创业师友计划”通过社会精英与在校生的配对交流，将社会需求、面试技巧等传达给学生，帮助学生学习导师的成功经验，通过引入社会力量，依托辅导员特色工作室，开展导师结对指导、工作室辅导、就业讲座、招聘会坐诊、面对面访谈、走访企业等形式，提升大学生就业创业能力。一年来惠及学生3000余人次，为学生的顺利就业、高质量就业构建良好的平台和基础。</w:t>
      </w:r>
    </w:p>
    <w:p>
      <w:pPr>
        <w:keepNext/>
        <w:keepLines/>
        <w:spacing w:line="360" w:lineRule="auto"/>
        <w:ind w:firstLine="562" w:firstLineChars="200"/>
        <w:outlineLvl w:val="1"/>
        <w:rPr>
          <w:b/>
        </w:rPr>
      </w:pPr>
      <w:bookmarkStart w:id="84" w:name="_Toc17081_WPSOffice_Level2"/>
      <w:bookmarkStart w:id="85" w:name="_Toc6509_WPSOffice_Level2"/>
      <w:r>
        <w:rPr>
          <w:rFonts w:hint="eastAsia"/>
          <w:b/>
        </w:rPr>
        <w:t>（三）整合资源，完善体系，优化就业服务平台</w:t>
      </w:r>
      <w:bookmarkEnd w:id="84"/>
      <w:bookmarkEnd w:id="85"/>
    </w:p>
    <w:p>
      <w:pPr>
        <w:spacing w:line="360" w:lineRule="auto"/>
        <w:ind w:firstLine="560" w:firstLineChars="200"/>
      </w:pPr>
      <w:r>
        <w:rPr>
          <w:rFonts w:hint="eastAsia"/>
        </w:rPr>
        <w:t>注重引进政府、协会资源，搭建提升学生就业力平台。通过与浙江省高校就业指导中心、杭州市人才服务局（杭州人才市场）、杭州市就业管理服务局、江干区人力资源和劳动社会保障局等政府就业相关部门、行业协会的合作，学院开展“杭州市高学历人才专场招聘会”、“第三届中国（杭州）跨境电商人才暨国际人才对接会”两场校园大型招聘会。招聘会共吸引400余家知名企事业单位前来学院招贤纳士，为毕业生提供15000余个岗位。其中，跨境电商人才对接会还引起了人民日报、中国新闻网、浙江新闻、杭州日报等媒体的关注。各分院结合学院要求，积极为毕业</w:t>
      </w:r>
      <w:r>
        <w:rPr>
          <w:rFonts w:hint="eastAsia"/>
          <w:highlight w:val="none"/>
        </w:rPr>
        <w:t>生搭建更好更优质的就业平台，各分院累计开展</w:t>
      </w:r>
      <w:r>
        <w:rPr>
          <w:rFonts w:hint="eastAsia"/>
          <w:highlight w:val="none"/>
          <w:lang w:val="en-US" w:eastAsia="zh-CN"/>
        </w:rPr>
        <w:t>60余</w:t>
      </w:r>
      <w:r>
        <w:rPr>
          <w:rFonts w:hint="eastAsia"/>
          <w:highlight w:val="none"/>
        </w:rPr>
        <w:t>场招聘会，共邀请</w:t>
      </w:r>
      <w:r>
        <w:rPr>
          <w:rFonts w:hint="eastAsia"/>
          <w:highlight w:val="none"/>
          <w:lang w:val="en-US" w:eastAsia="zh-CN"/>
        </w:rPr>
        <w:t>150余</w:t>
      </w:r>
      <w:r>
        <w:rPr>
          <w:rFonts w:hint="eastAsia"/>
          <w:highlight w:val="none"/>
        </w:rPr>
        <w:t>家企业</w:t>
      </w:r>
      <w:r>
        <w:rPr>
          <w:rFonts w:hint="eastAsia"/>
          <w:highlight w:val="none"/>
          <w:lang w:eastAsia="zh-CN"/>
        </w:rPr>
        <w:t>开展专场招聘会，</w:t>
      </w:r>
      <w:r>
        <w:rPr>
          <w:rFonts w:hint="eastAsia"/>
          <w:highlight w:val="none"/>
        </w:rPr>
        <w:t>总计提供</w:t>
      </w:r>
      <w:r>
        <w:rPr>
          <w:rFonts w:hint="eastAsia"/>
          <w:highlight w:val="none"/>
          <w:lang w:val="en-US" w:eastAsia="zh-CN"/>
        </w:rPr>
        <w:t>2000余</w:t>
      </w:r>
      <w:r>
        <w:rPr>
          <w:rFonts w:hint="eastAsia"/>
          <w:highlight w:val="none"/>
        </w:rPr>
        <w:t>个岗位。</w:t>
      </w:r>
    </w:p>
    <w:p>
      <w:pPr>
        <w:keepNext/>
        <w:keepLines/>
        <w:spacing w:line="360" w:lineRule="auto"/>
        <w:ind w:firstLine="562" w:firstLineChars="200"/>
        <w:outlineLvl w:val="1"/>
        <w:rPr>
          <w:b/>
        </w:rPr>
      </w:pPr>
      <w:bookmarkStart w:id="86" w:name="_Toc18028_WPSOffice_Level2"/>
      <w:bookmarkStart w:id="87" w:name="_Toc12434_WPSOffice_Level2"/>
      <w:r>
        <w:rPr>
          <w:rFonts w:hint="eastAsia"/>
          <w:b/>
        </w:rPr>
        <w:t>（四）出台加强大学生考研升学工作的实施意见</w:t>
      </w:r>
      <w:bookmarkEnd w:id="86"/>
      <w:bookmarkEnd w:id="87"/>
    </w:p>
    <w:p>
      <w:pPr>
        <w:spacing w:line="360" w:lineRule="auto"/>
        <w:ind w:firstLine="560" w:firstLineChars="200"/>
      </w:pPr>
      <w:r>
        <w:rPr>
          <w:rFonts w:hint="eastAsia"/>
        </w:rPr>
        <w:t>以“学院引导、分院主导、教师指导、机构辅导”为总体策略，出台考研升学工作实施意见，围绕“抓好考研促学风”的工作核心，分层实施考研意识教育，加强考研典型人物宣传，</w:t>
      </w:r>
      <w:r>
        <w:rPr>
          <w:rFonts w:hint="eastAsia"/>
          <w:lang w:eastAsia="zh-CN"/>
        </w:rPr>
        <w:t>新增</w:t>
      </w:r>
      <w:r>
        <w:rPr>
          <w:rFonts w:hint="eastAsia"/>
        </w:rPr>
        <w:t>“考研教室”2个、“公寓楼考研自习室”6个、“图书馆考研自习室”1个、考研咨询室2个，为学生提供全面的考研服务。2018届毕业生考研出国率达到6.4%，继续保持增长态势。</w:t>
      </w:r>
    </w:p>
    <w:bookmarkEnd w:id="73"/>
    <w:bookmarkEnd w:id="83"/>
    <w:p>
      <w:pPr>
        <w:keepNext/>
        <w:keepLines/>
        <w:spacing w:line="360" w:lineRule="auto"/>
        <w:ind w:firstLine="602" w:firstLineChars="200"/>
        <w:outlineLvl w:val="0"/>
        <w:rPr>
          <w:rFonts w:ascii="黑体" w:hAnsi="黑体" w:eastAsia="黑体" w:cs="黑体"/>
          <w:b/>
          <w:kern w:val="44"/>
          <w:sz w:val="30"/>
          <w:szCs w:val="30"/>
        </w:rPr>
      </w:pPr>
      <w:bookmarkStart w:id="88" w:name="_Toc11547_WPSOffice_Level1"/>
      <w:bookmarkStart w:id="89" w:name="_Toc670_WPSOffice_Level1"/>
      <w:bookmarkStart w:id="90" w:name="_Toc25776_WPSOffice_Level1"/>
      <w:bookmarkStart w:id="91" w:name="_Toc32595"/>
      <w:r>
        <w:rPr>
          <w:rFonts w:hint="eastAsia" w:ascii="黑体" w:hAnsi="黑体" w:eastAsia="黑体" w:cs="黑体"/>
          <w:b/>
          <w:kern w:val="44"/>
          <w:sz w:val="30"/>
          <w:szCs w:val="30"/>
        </w:rPr>
        <w:t>四、2018年创业工作概况及主要举措</w:t>
      </w:r>
      <w:bookmarkEnd w:id="88"/>
      <w:bookmarkEnd w:id="89"/>
      <w:bookmarkEnd w:id="9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rPr>
        <w:t>学院高度重视创新创业教育工作，把</w:t>
      </w:r>
      <w:r>
        <w:rPr>
          <w:rFonts w:hint="eastAsia" w:cs="仿宋_GB2312"/>
          <w:lang w:eastAsia="zh-CN"/>
        </w:rPr>
        <w:t>创新创业教育纳入</w:t>
      </w:r>
      <w:r>
        <w:rPr>
          <w:rFonts w:hint="eastAsia" w:cs="仿宋_GB2312"/>
          <w:lang w:val="en-US" w:eastAsia="zh-CN"/>
        </w:rPr>
        <w:t>2018版人才培养方案，提出“创业教育与专业教育结合”、“3+1创新创业教育”模式</w:t>
      </w:r>
      <w:r>
        <w:rPr>
          <w:rFonts w:hint="eastAsia" w:cs="仿宋_GB2312"/>
        </w:rPr>
        <w:t>，大力培养学生创新精神、创业意识和创新创业能力，全面提升学生的综合素质和核心竞争力。2018届毕业生中创业上报人数为8人，占比0.36%。参考历届毕业生数据统计，毕业一年后创业率会有较大提升。其中，2017届毕业生毕业一年后的创业率为5.76%（全省本科平均3.53%），2015届毕业生毕业三年后的创业率为5.47%（全省本科平均4.17%）。</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ascii="黑体" w:hAnsi="黑体" w:eastAsia="黑体" w:cs="黑体"/>
          <w:b/>
        </w:rPr>
      </w:pPr>
      <w:bookmarkStart w:id="92" w:name="_Toc8155_WPSOffice_Level2"/>
      <w:bookmarkStart w:id="93" w:name="_Toc14027_WPSOffice_Level2"/>
      <w:r>
        <w:rPr>
          <w:rFonts w:hint="eastAsia" w:ascii="黑体" w:hAnsi="黑体" w:eastAsia="黑体" w:cs="黑体"/>
          <w:b/>
        </w:rPr>
        <w:t>（一）构建创新创业实训平台，探索“3+1”双创教育新载体</w:t>
      </w:r>
      <w:bookmarkEnd w:id="92"/>
      <w:bookmarkEnd w:id="93"/>
    </w:p>
    <w:p>
      <w:pPr>
        <w:pageBreakBefore w:val="0"/>
        <w:widowControl w:val="0"/>
        <w:kinsoku/>
        <w:wordWrap/>
        <w:overflowPunct/>
        <w:topLinePunct w:val="0"/>
        <w:autoSpaceDE/>
        <w:autoSpaceDN/>
        <w:bidi w:val="0"/>
        <w:adjustRightInd/>
        <w:snapToGrid/>
        <w:spacing w:line="600" w:lineRule="exact"/>
        <w:ind w:firstLine="560" w:firstLineChars="200"/>
        <w:textAlignment w:val="auto"/>
      </w:pPr>
      <w:r>
        <w:rPr>
          <w:rFonts w:hint="eastAsia"/>
        </w:rPr>
        <w:t>学院充分发挥校友资源优势、服务地方优势，依托地铁学院、跨境电商学院、潮童星管理学院，开设3个跨分院跨专业的“3+1”创新创业实训班，通过整合校内外优质创业教育资源，强化理论与实践的结合，突出创新能力、创业实务和创业实践教学，为区域经济社会发展培养创新型创业人才。</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ascii="黑体" w:hAnsi="黑体" w:eastAsia="黑体" w:cs="黑体"/>
          <w:b/>
        </w:rPr>
      </w:pPr>
      <w:bookmarkStart w:id="94" w:name="_Toc23883_WPSOffice_Level2"/>
      <w:bookmarkStart w:id="95" w:name="_Toc7861_WPSOffice_Level2"/>
      <w:r>
        <w:rPr>
          <w:rFonts w:hint="eastAsia" w:ascii="黑体" w:hAnsi="黑体" w:eastAsia="黑体" w:cs="黑体"/>
          <w:b/>
        </w:rPr>
        <w:t>（二）</w:t>
      </w:r>
      <w:r>
        <w:rPr>
          <w:rFonts w:hint="eastAsia" w:ascii="黑体" w:hAnsi="黑体" w:eastAsia="黑体" w:cs="黑体"/>
          <w:b/>
          <w:lang w:eastAsia="zh-CN"/>
        </w:rPr>
        <w:t>整合资源，</w:t>
      </w:r>
      <w:r>
        <w:rPr>
          <w:rFonts w:hint="eastAsia" w:ascii="黑体" w:hAnsi="黑体" w:eastAsia="黑体" w:cs="黑体"/>
          <w:b/>
        </w:rPr>
        <w:t>搭建</w:t>
      </w:r>
      <w:r>
        <w:rPr>
          <w:rFonts w:hint="eastAsia" w:ascii="黑体" w:hAnsi="黑体" w:eastAsia="黑体" w:cs="黑体"/>
          <w:b/>
          <w:lang w:eastAsia="zh-CN"/>
        </w:rPr>
        <w:t>校企、校政协同育人</w:t>
      </w:r>
      <w:r>
        <w:rPr>
          <w:rFonts w:hint="eastAsia" w:ascii="黑体" w:hAnsi="黑体" w:eastAsia="黑体" w:cs="黑体"/>
          <w:b/>
        </w:rPr>
        <w:t>平台</w:t>
      </w:r>
      <w:bookmarkEnd w:id="94"/>
      <w:bookmarkEnd w:id="9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eastAsia="宋体"/>
          <w:lang w:val="en-US" w:eastAsia="zh-CN"/>
        </w:rPr>
      </w:pPr>
      <w:r>
        <w:rPr>
          <w:rFonts w:hint="eastAsia"/>
        </w:rPr>
        <w:t>构筑校政合作区域协同平台，通过与市跨境电商综试办、市人才服务局、市就业管理服务局等办局的合作，借力政府优势资源，助推双创工作。其中，中标杭州市就业管理服务局就业创业服务项目4项，引入经费近20万元，通过“师友计划”、“小鹏助飞”、“一起招聘会”、“导师训练营”等项目的开展，进一步构建大学生就业创业能力提升服务体系。</w:t>
      </w:r>
      <w:r>
        <w:rPr>
          <w:rFonts w:hint="eastAsia"/>
          <w:lang w:eastAsia="zh-CN"/>
        </w:rPr>
        <w:t>承办</w:t>
      </w:r>
      <w:r>
        <w:rPr>
          <w:rFonts w:hint="eastAsia"/>
        </w:rPr>
        <w:t>第二届浙江省高校创业学院联盟年会，搭建了高校间创新创业工作的交流互动平台。积极对接企业，成功申报了杭州绘自传网络科技有限公司发起的教育部产学协同育人立项</w:t>
      </w:r>
      <w:r>
        <w:rPr>
          <w:rFonts w:hint="eastAsia"/>
          <w:lang w:eastAsia="zh-CN"/>
        </w:rPr>
        <w:t>。</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ascii="黑体" w:hAnsi="黑体" w:eastAsia="黑体" w:cs="黑体"/>
          <w:b/>
        </w:rPr>
      </w:pPr>
      <w:bookmarkStart w:id="96" w:name="_Toc5754_WPSOffice_Level2"/>
      <w:bookmarkStart w:id="97" w:name="_Toc7533_WPSOffice_Level2"/>
      <w:r>
        <w:rPr>
          <w:rFonts w:hint="eastAsia" w:ascii="黑体" w:hAnsi="黑体" w:eastAsia="黑体" w:cs="黑体"/>
          <w:b/>
        </w:rPr>
        <w:t>（</w:t>
      </w:r>
      <w:r>
        <w:rPr>
          <w:rFonts w:hint="eastAsia" w:ascii="黑体" w:hAnsi="黑体" w:eastAsia="黑体" w:cs="黑体"/>
          <w:b/>
          <w:lang w:eastAsia="zh-CN"/>
        </w:rPr>
        <w:t>三</w:t>
      </w:r>
      <w:r>
        <w:rPr>
          <w:rFonts w:hint="eastAsia" w:ascii="黑体" w:hAnsi="黑体" w:eastAsia="黑体" w:cs="黑体"/>
          <w:b/>
        </w:rPr>
        <w:t>）倡导师生共创，构建双创实践教育新模式</w:t>
      </w:r>
      <w:bookmarkEnd w:id="96"/>
      <w:bookmarkEnd w:id="97"/>
    </w:p>
    <w:p>
      <w:pPr>
        <w:pageBreakBefore w:val="0"/>
        <w:widowControl w:val="0"/>
        <w:kinsoku/>
        <w:wordWrap/>
        <w:overflowPunct/>
        <w:topLinePunct w:val="0"/>
        <w:autoSpaceDE/>
        <w:autoSpaceDN/>
        <w:bidi w:val="0"/>
        <w:adjustRightInd/>
        <w:snapToGrid/>
        <w:spacing w:line="600" w:lineRule="exact"/>
        <w:ind w:firstLine="560" w:firstLineChars="200"/>
        <w:textAlignment w:val="auto"/>
      </w:pPr>
      <w:r>
        <w:rPr>
          <w:rFonts w:hint="eastAsia"/>
        </w:rPr>
        <w:t>“流水的学生，铁打的教师”。创业团队、创业项目往往随着学生的毕业而逐渐消亡。对此，学院积极响应号召，倡导“三师三生”，即“师研生随、师导生创、师生共创”，引导专业教师、大学生共同参与创业，创新合作模式，延长创业项目生命周期。共计培育师生共创团队16个，并整合创业孵化场地，设立文化创意产业和跨境电商两大创业区。后续将设立创新创业大楼，继续扶持大学生创新创业。</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ascii="黑体" w:hAnsi="黑体" w:eastAsia="黑体" w:cs="黑体"/>
          <w:b/>
        </w:rPr>
      </w:pPr>
      <w:bookmarkStart w:id="98" w:name="_Toc733_WPSOffice_Level2"/>
      <w:bookmarkStart w:id="99" w:name="_Toc7567_WPSOffice_Level2"/>
      <w:r>
        <w:rPr>
          <w:rFonts w:hint="eastAsia" w:ascii="黑体" w:hAnsi="黑体" w:eastAsia="黑体" w:cs="黑体"/>
          <w:b/>
        </w:rPr>
        <w:t>（</w:t>
      </w:r>
      <w:r>
        <w:rPr>
          <w:rFonts w:hint="eastAsia" w:ascii="黑体" w:hAnsi="黑体" w:eastAsia="黑体" w:cs="黑体"/>
          <w:b/>
          <w:lang w:eastAsia="zh-CN"/>
        </w:rPr>
        <w:t>四</w:t>
      </w:r>
      <w:r>
        <w:rPr>
          <w:rFonts w:hint="eastAsia" w:ascii="黑体" w:hAnsi="黑体" w:eastAsia="黑体" w:cs="黑体"/>
          <w:b/>
        </w:rPr>
        <w:t>）开设“日弥创业班”，营造双创育人氛围</w:t>
      </w:r>
      <w:bookmarkEnd w:id="98"/>
      <w:bookmarkEnd w:id="99"/>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lang w:eastAsia="zh-CN"/>
        </w:rPr>
        <w:t>按照“学院主导、校友资助、企业授课”的新思路，</w:t>
      </w:r>
      <w:r>
        <w:rPr>
          <w:rFonts w:hint="eastAsia" w:cs="仿宋_GB2312"/>
        </w:rPr>
        <w:t>完成学院首届日弥创业班50名学员招生，与超校联盟进行合作培养与项目孵化。还通过“未来企业家协会”、“杭州市大学生创业训练营”、“浙江省大学生创新创业能力提升行动计划培训示范班”、“第十二届启航财富人生创业计划大赛”、“创业集市”、“创业孵化园”建设等抓手，强化创新创业教育。多渠道开辟创业场地，孵化创业团队36支；举办创意集市20余次，有超过500个摊位展出；选送10名教师参加浙江省创业导师培训工程。</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ascii="黑体" w:hAnsi="黑体" w:eastAsia="黑体" w:cs="黑体"/>
          <w:b/>
        </w:rPr>
      </w:pPr>
      <w:bookmarkStart w:id="100" w:name="_Toc21700"/>
      <w:bookmarkStart w:id="101" w:name="_Toc28813_WPSOffice_Level2"/>
      <w:bookmarkStart w:id="102" w:name="_Toc11479_WPSOffice_Level2"/>
      <w:r>
        <w:rPr>
          <w:rFonts w:hint="eastAsia" w:ascii="黑体" w:hAnsi="黑体" w:eastAsia="黑体" w:cs="黑体"/>
          <w:b/>
        </w:rPr>
        <w:t>（</w:t>
      </w:r>
      <w:r>
        <w:rPr>
          <w:rFonts w:hint="eastAsia" w:ascii="黑体" w:hAnsi="黑体" w:eastAsia="黑体" w:cs="黑体"/>
          <w:b/>
          <w:lang w:eastAsia="zh-CN"/>
        </w:rPr>
        <w:t>五</w:t>
      </w:r>
      <w:r>
        <w:rPr>
          <w:rFonts w:hint="eastAsia" w:ascii="黑体" w:hAnsi="黑体" w:eastAsia="黑体" w:cs="黑体"/>
          <w:b/>
        </w:rPr>
        <w:t>）</w:t>
      </w:r>
      <w:bookmarkEnd w:id="100"/>
      <w:r>
        <w:rPr>
          <w:rFonts w:hint="eastAsia" w:ascii="黑体" w:hAnsi="黑体" w:eastAsia="黑体" w:cs="黑体"/>
          <w:b/>
        </w:rPr>
        <w:t>以赛促创，提高双创教育质量</w:t>
      </w:r>
      <w:bookmarkEnd w:id="101"/>
      <w:bookmarkEnd w:id="102"/>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cs="仿宋_GB2312"/>
        </w:rPr>
      </w:pPr>
      <w:r>
        <w:rPr>
          <w:rFonts w:hint="eastAsia" w:cs="仿宋_GB2312"/>
        </w:rPr>
        <w:t>以赛促学，以赛促教，以赛促创，学院以科创竞赛为导向，不断培育大学生创新水平和创业能力。2018年，双创竞赛成绩突出，获得浙江省第十一届挑战杯大学生创业大赛银奖一项、铜奖两项；获得第四届浙江省“互联网+”大学生创新创业大赛“二银五铜”；获得第十届省职业生涯规划与创业大赛一等奖一项、二等奖一项、三等奖及优胜奖各一项和最佳组织奖；获得浙江省首届“农信杯”乡村振兴大学生创意大赛银奖两项、铜奖一项。创新创业类竞赛成绩在全省独立学院中名列前茅。</w:t>
      </w:r>
    </w:p>
    <w:bookmarkEnd w:id="91"/>
    <w:p>
      <w:pPr>
        <w:keepNext/>
        <w:keepLines/>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ascii="黑体" w:hAnsi="黑体" w:eastAsia="黑体" w:cs="黑体"/>
          <w:b/>
          <w:kern w:val="44"/>
          <w:sz w:val="30"/>
          <w:szCs w:val="30"/>
        </w:rPr>
      </w:pPr>
      <w:bookmarkStart w:id="103" w:name="_Toc28657_WPSOffice_Level1"/>
      <w:bookmarkStart w:id="104" w:name="_Toc6180_WPSOffice_Level1"/>
      <w:bookmarkStart w:id="105" w:name="_Toc6654_WPSOffice_Level1"/>
      <w:r>
        <w:rPr>
          <w:rFonts w:hint="eastAsia" w:ascii="黑体" w:hAnsi="黑体" w:eastAsia="黑体" w:cs="黑体"/>
          <w:b/>
          <w:kern w:val="44"/>
          <w:sz w:val="30"/>
          <w:szCs w:val="30"/>
        </w:rPr>
        <w:t>五、就业创业工作中存在的困难和问题</w:t>
      </w:r>
      <w:bookmarkEnd w:id="103"/>
      <w:bookmarkEnd w:id="104"/>
      <w:bookmarkEnd w:id="105"/>
    </w:p>
    <w:p>
      <w:pPr>
        <w:pageBreakBefore w:val="0"/>
        <w:widowControl w:val="0"/>
        <w:kinsoku/>
        <w:wordWrap/>
        <w:overflowPunct/>
        <w:topLinePunct w:val="0"/>
        <w:autoSpaceDE/>
        <w:autoSpaceDN/>
        <w:bidi w:val="0"/>
        <w:adjustRightInd/>
        <w:snapToGrid/>
        <w:spacing w:line="600" w:lineRule="exact"/>
        <w:ind w:firstLine="560" w:firstLineChars="200"/>
        <w:textAlignment w:val="auto"/>
      </w:pPr>
      <w:r>
        <w:rPr>
          <w:rFonts w:hint="eastAsia"/>
        </w:rPr>
        <w:t>我院就业工作虽然取得了一定成绩，但依然存在不足之处，主要的问题有以下几个方面：</w:t>
      </w:r>
    </w:p>
    <w:p>
      <w:pPr>
        <w:pageBreakBefore w:val="0"/>
        <w:widowControl w:val="0"/>
        <w:kinsoku/>
        <w:wordWrap/>
        <w:overflowPunct/>
        <w:topLinePunct w:val="0"/>
        <w:autoSpaceDE/>
        <w:autoSpaceDN/>
        <w:bidi w:val="0"/>
        <w:adjustRightInd/>
        <w:snapToGrid/>
        <w:spacing w:line="600" w:lineRule="exact"/>
        <w:ind w:firstLine="560" w:firstLineChars="200"/>
        <w:textAlignment w:val="auto"/>
      </w:pPr>
      <w:r>
        <w:rPr>
          <w:rFonts w:hint="eastAsia"/>
        </w:rPr>
        <w:t>1.就业工作还处在从就业数量向注重就业质量转变的过程中，需要更加注重就业质量调查，发现和解决问题，提升就业质量。</w:t>
      </w:r>
    </w:p>
    <w:p>
      <w:pPr>
        <w:pageBreakBefore w:val="0"/>
        <w:widowControl w:val="0"/>
        <w:kinsoku/>
        <w:wordWrap/>
        <w:overflowPunct/>
        <w:topLinePunct w:val="0"/>
        <w:autoSpaceDE/>
        <w:autoSpaceDN/>
        <w:bidi w:val="0"/>
        <w:adjustRightInd/>
        <w:snapToGrid/>
        <w:spacing w:line="600" w:lineRule="exact"/>
        <w:ind w:firstLine="560" w:firstLineChars="200"/>
        <w:textAlignment w:val="auto"/>
      </w:pPr>
      <w:r>
        <w:rPr>
          <w:rFonts w:hint="eastAsia"/>
        </w:rPr>
        <w:t>2.毕业生国内升学率与其他独立学院持平或略高，但出国留学率相差距离较大，需要加强学生出国留学的服务工作。</w:t>
      </w:r>
    </w:p>
    <w:p>
      <w:pPr>
        <w:pageBreakBefore w:val="0"/>
        <w:widowControl w:val="0"/>
        <w:kinsoku/>
        <w:wordWrap/>
        <w:overflowPunct/>
        <w:topLinePunct w:val="0"/>
        <w:autoSpaceDE/>
        <w:autoSpaceDN/>
        <w:bidi w:val="0"/>
        <w:adjustRightInd/>
        <w:snapToGrid/>
        <w:spacing w:line="600" w:lineRule="exact"/>
        <w:ind w:firstLine="560" w:firstLineChars="200"/>
        <w:textAlignment w:val="auto"/>
      </w:pPr>
      <w:r>
        <w:rPr>
          <w:rFonts w:hint="eastAsia"/>
        </w:rPr>
        <w:t>3.部分专业的人才培养与杭州市人才需求的紧密度、贴合度还需要提高，以更好地服务杭州经济发展。</w:t>
      </w:r>
    </w:p>
    <w:p>
      <w:pPr>
        <w:pageBreakBefore w:val="0"/>
        <w:widowControl w:val="0"/>
        <w:kinsoku/>
        <w:wordWrap/>
        <w:overflowPunct/>
        <w:topLinePunct w:val="0"/>
        <w:autoSpaceDE/>
        <w:autoSpaceDN/>
        <w:bidi w:val="0"/>
        <w:adjustRightInd/>
        <w:snapToGrid/>
        <w:spacing w:line="600" w:lineRule="exact"/>
        <w:ind w:firstLine="560" w:firstLineChars="200"/>
        <w:textAlignment w:val="auto"/>
      </w:pPr>
      <w:r>
        <w:rPr>
          <w:rFonts w:hint="eastAsia"/>
        </w:rPr>
        <w:t>4.校内就业实践训练的场地、设施等硬件条件不足，对推进工作产生有一定影响；校外的资源开发和利用不够，需要进一步加强与社会、企业的联系，整合多方资源为我所用。</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bookmarkStart w:id="106" w:name="_Toc3440"/>
      <w:r>
        <w:rPr>
          <w:rFonts w:hint="eastAsia" w:cs="仿宋_GB2312"/>
        </w:rPr>
        <w:t>5.对创新创业教育的重要性认识不足，仍需深化创新创业教育改革，把创新创业教育改革作为学院综合改革的重要突破口。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lang w:val="en-US" w:eastAsia="zh-CN"/>
        </w:rPr>
        <w:t>6</w:t>
      </w:r>
      <w:r>
        <w:rPr>
          <w:rFonts w:hint="eastAsia" w:cs="仿宋_GB2312"/>
        </w:rPr>
        <w:t>.新形势下，创业学院现有体制、机制无法满足创新创业教育的发展需要，有待明确定位，需要考虑向“实体化、专职化、双属性”方向发展。</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lang w:val="en-US" w:eastAsia="zh-CN"/>
        </w:rPr>
        <w:t>7</w:t>
      </w:r>
      <w:r>
        <w:rPr>
          <w:rFonts w:hint="eastAsia" w:cs="仿宋_GB2312"/>
        </w:rPr>
        <w:t>.校内创新创业导师队伍，尤其是专业老师背景的创业导师队伍组建存在一定困难，需要加强引导和培养，考虑引进与培育专职创新创业指导教师，建立一支专兼结合的创新创业和就业指导师资队伍。</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lang w:val="en-US" w:eastAsia="zh-CN"/>
        </w:rPr>
        <w:t>8</w:t>
      </w:r>
      <w:r>
        <w:rPr>
          <w:rFonts w:hint="eastAsia" w:cs="仿宋_GB2312"/>
        </w:rPr>
        <w:t>.校内创新创业和就业实践训练的场地、</w:t>
      </w:r>
      <w:r>
        <w:rPr>
          <w:rFonts w:hint="eastAsia" w:cs="仿宋_GB2312"/>
          <w:lang w:eastAsia="zh-CN"/>
        </w:rPr>
        <w:t>经费保障</w:t>
      </w:r>
      <w:r>
        <w:rPr>
          <w:rFonts w:hint="eastAsia" w:cs="仿宋_GB2312"/>
        </w:rPr>
        <w:t>等条件不足，对推进工作产生有一定影响；校外的资源开发和利用不够，需要进一步加强与社会、企业的联系，整合多方资源为我所用。</w:t>
      </w:r>
    </w:p>
    <w:p>
      <w:pPr>
        <w:keepNext/>
        <w:keepLines/>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ascii="黑体" w:hAnsi="黑体" w:eastAsia="黑体" w:cs="黑体"/>
          <w:b/>
          <w:kern w:val="44"/>
          <w:sz w:val="30"/>
          <w:szCs w:val="30"/>
        </w:rPr>
      </w:pPr>
      <w:bookmarkStart w:id="107" w:name="_Toc32457_WPSOffice_Level1"/>
      <w:bookmarkStart w:id="108" w:name="_Toc26063_WPSOffice_Level1"/>
      <w:bookmarkStart w:id="109" w:name="_Toc7039_WPSOffice_Level1"/>
      <w:r>
        <w:rPr>
          <w:rFonts w:hint="eastAsia" w:ascii="黑体" w:hAnsi="黑体" w:eastAsia="黑体" w:cs="黑体"/>
          <w:b/>
          <w:kern w:val="44"/>
          <w:sz w:val="30"/>
          <w:szCs w:val="30"/>
        </w:rPr>
        <w:t>六、工作对策和建议</w:t>
      </w:r>
      <w:bookmarkEnd w:id="106"/>
      <w:bookmarkEnd w:id="107"/>
      <w:bookmarkEnd w:id="108"/>
      <w:bookmarkEnd w:id="109"/>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bookmarkStart w:id="110" w:name="_Toc403391067"/>
      <w:bookmarkStart w:id="111" w:name="_Toc369271236"/>
      <w:bookmarkStart w:id="112" w:name="_Toc31140"/>
      <w:r>
        <w:rPr>
          <w:rFonts w:hint="eastAsia" w:cs="仿宋_GB2312"/>
        </w:rPr>
        <w:t>总体思路：拉高标杆，追求卓越，全面深化创新创业教育改革和就业指导服务工作，推动“专创融合、科创融合、产教融合、思创融合”，探索创新创业人才培养新模式，架构起“钱江特色”的创新创业教育体系和就业精准化服务体系。</w:t>
      </w:r>
      <w:bookmarkEnd w:id="110"/>
      <w:bookmarkEnd w:id="111"/>
      <w:bookmarkEnd w:id="112"/>
      <w:bookmarkStart w:id="113" w:name="_Toc19495"/>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14" w:name="_Toc6696_WPSOffice_Level2"/>
      <w:bookmarkStart w:id="115" w:name="_Toc17700_WPSOffice_Level2"/>
      <w:r>
        <w:rPr>
          <w:rFonts w:hint="eastAsia"/>
        </w:rPr>
        <w:t>（一）推进创新创业人才培养模式改革</w:t>
      </w:r>
      <w:bookmarkEnd w:id="114"/>
      <w:bookmarkEnd w:id="115"/>
    </w:p>
    <w:p>
      <w:pPr>
        <w:pageBreakBefore w:val="0"/>
        <w:widowControl w:val="0"/>
        <w:kinsoku/>
        <w:wordWrap/>
        <w:overflowPunct/>
        <w:topLinePunct w:val="0"/>
        <w:autoSpaceDE/>
        <w:autoSpaceDN/>
        <w:bidi w:val="0"/>
        <w:adjustRightInd/>
        <w:snapToGrid/>
        <w:spacing w:line="600" w:lineRule="exact"/>
        <w:ind w:firstLine="560" w:firstLineChars="200"/>
        <w:textAlignment w:val="auto"/>
        <w:rPr>
          <w:bCs/>
        </w:rPr>
      </w:pPr>
      <w:r>
        <w:rPr>
          <w:rFonts w:hint="eastAsia"/>
          <w:bCs/>
        </w:rPr>
        <w:t>创新专创融合模式，完善人才培养质量体系。</w:t>
      </w:r>
      <w:r>
        <w:rPr>
          <w:rFonts w:hint="eastAsia"/>
          <w:bCs/>
          <w:lang w:eastAsia="zh-CN"/>
        </w:rPr>
        <w:t>全面</w:t>
      </w:r>
      <w:r>
        <w:rPr>
          <w:rFonts w:hint="eastAsia"/>
          <w:bCs/>
        </w:rPr>
        <w:t>落实2018版人才培养方案，将创新精神、创业意识和创新创业能力作为各类专业人才培养的重要指标。实行“金字塔式”分类、分层的培养模式，完善大一普适性创新创业教育公共必修课，引入大二“互联网+创新创业课程”结合模式，大四全面实施“3+1”教育模式。促进“创业实训”替代“专业实训”、“经营企业”替代“毕业实习”、“创业成果”替代“毕业论文”。</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16" w:name="_Toc3031_WPSOffice_Level2"/>
      <w:bookmarkStart w:id="117" w:name="_Toc25128_WPSOffice_Level2"/>
      <w:r>
        <w:rPr>
          <w:rFonts w:hint="eastAsia"/>
        </w:rPr>
        <w:t>（二）打造创新创业教育实践平台</w:t>
      </w:r>
      <w:bookmarkEnd w:id="116"/>
      <w:bookmarkEnd w:id="117"/>
    </w:p>
    <w:p>
      <w:pPr>
        <w:pageBreakBefore w:val="0"/>
        <w:widowControl w:val="0"/>
        <w:kinsoku/>
        <w:wordWrap/>
        <w:overflowPunct/>
        <w:topLinePunct w:val="0"/>
        <w:autoSpaceDE/>
        <w:autoSpaceDN/>
        <w:bidi w:val="0"/>
        <w:adjustRightInd/>
        <w:snapToGrid/>
        <w:spacing w:line="600" w:lineRule="exact"/>
        <w:ind w:firstLine="560" w:firstLineChars="200"/>
        <w:textAlignment w:val="auto"/>
        <w:rPr>
          <w:bCs/>
        </w:rPr>
      </w:pPr>
      <w:r>
        <w:rPr>
          <w:rFonts w:hint="eastAsia"/>
          <w:bCs/>
        </w:rPr>
        <w:t>强化创新创业项目平台。加大对院级创新创业项目的立项数和资助力度，注重创新项目的创业落地。加强创新创业实训平台。加强专业实验室、创业实验室和训练中心建设，促进实验教学平台共享，鼓励跨学科建立创新创业团队进驻实验室进行实训，实现科技创新资源向全体在校学生开放。完善创新创业竞赛平台。通过举办各类创新创业大赛，以创意竞赛挖掘选拔有潜质的项目。拓展创新创业孵化平台。建设好“一街、一园、一楼”创业学院众创空间，申报杭州市大学生创业园，充分整合政府、企业、校友资源，引入社会风投，加深校企合作、协同育人。</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18" w:name="_Toc21004_WPSOffice_Level2"/>
      <w:bookmarkStart w:id="119" w:name="_Toc30207_WPSOffice_Level2"/>
      <w:r>
        <w:rPr>
          <w:rFonts w:hint="eastAsia"/>
        </w:rPr>
        <w:t>（三）推进思创融合</w:t>
      </w:r>
      <w:bookmarkEnd w:id="118"/>
      <w:bookmarkEnd w:id="119"/>
    </w:p>
    <w:p>
      <w:pPr>
        <w:pageBreakBefore w:val="0"/>
        <w:widowControl w:val="0"/>
        <w:kinsoku/>
        <w:wordWrap/>
        <w:overflowPunct/>
        <w:topLinePunct w:val="0"/>
        <w:autoSpaceDE/>
        <w:autoSpaceDN/>
        <w:bidi w:val="0"/>
        <w:adjustRightInd/>
        <w:snapToGrid/>
        <w:spacing w:line="600" w:lineRule="exact"/>
        <w:ind w:firstLine="560" w:firstLineChars="200"/>
        <w:textAlignment w:val="auto"/>
        <w:rPr>
          <w:bCs/>
        </w:rPr>
      </w:pPr>
      <w:r>
        <w:rPr>
          <w:rFonts w:hint="eastAsia"/>
          <w:bCs/>
        </w:rPr>
        <w:t>推动创新创业教育与思想政治教育相融合。开展“青年红色筑梦之旅”社会实践和创新创业实践活动，打造思政课堂，引导青年走进革命老区、贫困地区，接受思想洗礼、学习革命精神、传承红色基因、服务乡村振兴，走好新时代青年的创业长征路。党建引领创新创业。优化创业学院“创业党支部”，把党的基层组织覆盖到学生的创业团体中，注重“立德树人”新时代创业青年思想引领，在发展党员过程中，指标单列、条件单列，降低学习成绩的标准，增加创业成绩指标，吸收更多的优秀创业青年加入到党组织。</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20" w:name="_Toc14709_WPSOffice_Level2"/>
      <w:bookmarkStart w:id="121" w:name="_Toc25573_WPSOffice_Level2"/>
      <w:r>
        <w:rPr>
          <w:rFonts w:hint="eastAsia"/>
        </w:rPr>
        <w:t>（四）营造创新创业浓厚氛围</w:t>
      </w:r>
      <w:bookmarkEnd w:id="120"/>
      <w:bookmarkEnd w:id="121"/>
    </w:p>
    <w:p>
      <w:pPr>
        <w:pageBreakBefore w:val="0"/>
        <w:widowControl w:val="0"/>
        <w:kinsoku/>
        <w:wordWrap/>
        <w:overflowPunct/>
        <w:topLinePunct w:val="0"/>
        <w:autoSpaceDE/>
        <w:autoSpaceDN/>
        <w:bidi w:val="0"/>
        <w:adjustRightInd/>
        <w:snapToGrid/>
        <w:spacing w:line="600" w:lineRule="exact"/>
        <w:ind w:firstLine="560" w:firstLineChars="200"/>
        <w:textAlignment w:val="auto"/>
        <w:rPr>
          <w:bCs/>
        </w:rPr>
      </w:pPr>
      <w:r>
        <w:rPr>
          <w:rFonts w:hint="eastAsia"/>
          <w:bCs/>
        </w:rPr>
        <w:t>加强创新创业精神宣传。以马云精神为指引，重视发挥优秀创新创业校友的精神引领作用；挖掘树立大学生创新创业先进典型，弘扬创新创业正能量，以榜样力量激发学生创新创业激情。深化创新创业文化建设。充分发挥第二课堂创新创业教育作用，加大对创新创业类社团，尤其是科技型社团的扶持力度，举办各类创新创业文化活动。加强创新创业指导服务。为学生实时提供国家政策、市场动向等信息，落实创业培训、工商登记、融资服务、税收减免等各项优惠政策。</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22" w:name="_Toc5917_WPSOffice_Level2"/>
      <w:bookmarkStart w:id="123" w:name="_Toc31315_WPSOffice_Level2"/>
      <w:r>
        <w:rPr>
          <w:rFonts w:hint="eastAsia"/>
        </w:rPr>
        <w:t>（五）完善创新创业教育保障体系</w:t>
      </w:r>
      <w:bookmarkEnd w:id="122"/>
      <w:bookmarkEnd w:id="123"/>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bCs/>
        </w:rPr>
        <w:t>完善学院创新创业教育领导小组组织保障，优化创业学院机构建制。加强创新创业教育师资队伍建设保障。出台创业导师管理办法，按照一定条件，聘请专兼结合的专业教师、企业家、风险投资人、校友等担任创业导师、竞赛导师。建立创新创业</w:t>
      </w:r>
      <w:r>
        <w:rPr>
          <w:rFonts w:hint="eastAsia"/>
          <w:bCs/>
          <w:lang w:eastAsia="zh-CN"/>
        </w:rPr>
        <w:t>专项</w:t>
      </w:r>
      <w:r>
        <w:rPr>
          <w:rFonts w:hint="eastAsia"/>
          <w:bCs/>
        </w:rPr>
        <w:t>经费</w:t>
      </w:r>
      <w:r>
        <w:rPr>
          <w:rFonts w:hint="eastAsia"/>
          <w:bCs/>
          <w:lang w:val="en-US" w:eastAsia="zh-CN"/>
        </w:rPr>
        <w:t>50-100万元</w:t>
      </w:r>
      <w:r>
        <w:rPr>
          <w:rFonts w:hint="eastAsia"/>
          <w:bCs/>
        </w:rPr>
        <w:t>，出台创新创业基金管理办法，支持创新创业教育、实践、孵化等工作。多方式多渠道争取社会资源支持创新创业工作。加强场地保障，整合场地，建设众创空间，拓宽创业学院信息楼7、8楼创业场地，开辟一幢楼专门用于众创空间建设。完善创新创业工作考评制度。增加大学生创新创业工作在部门和分院绩效考核目标任务中的比重。出台高水平创新创业竞赛奖励办法。</w:t>
      </w:r>
      <w:bookmarkEnd w:id="113"/>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24" w:name="_Toc23334_WPSOffice_Level2"/>
      <w:bookmarkStart w:id="125" w:name="_Toc8923_WPSOffice_Level2"/>
      <w:r>
        <w:rPr>
          <w:rFonts w:hint="eastAsia"/>
        </w:rPr>
        <w:t>（六）转变就业观念，营造就业氛围</w:t>
      </w:r>
      <w:bookmarkEnd w:id="124"/>
      <w:bookmarkEnd w:id="12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rPr>
        <w:t>目前，学生的就业观念倾向于大城市、体制内、家门口，毕业生就业期望较高。在新形势下，需要引导学生转变就业观念，合理调整就业期望，积极主动寻找就业机会。坚持基层就业的大方向，鼓励毕业生到基层就业，同时学校也需要继续开拓就业市场，拓宽就业空间和渠道，更加主动地、有针对性地举办各类宣讲会，不断巩固老基地、开拓新市场。</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26" w:name="_Toc403391068"/>
      <w:bookmarkStart w:id="127" w:name="_Toc13960_WPSOffice_Level2"/>
      <w:bookmarkStart w:id="128" w:name="_Toc369271237"/>
      <w:bookmarkStart w:id="129" w:name="_Toc14505_WPSOffice_Level2"/>
      <w:bookmarkStart w:id="130" w:name="_Toc20397"/>
      <w:r>
        <w:rPr>
          <w:rFonts w:hint="eastAsia"/>
        </w:rPr>
        <w:t>（七）补短板、抓特色，做好毕业生精准化就业服务工作</w:t>
      </w:r>
      <w:bookmarkEnd w:id="126"/>
      <w:bookmarkEnd w:id="127"/>
      <w:bookmarkEnd w:id="128"/>
      <w:bookmarkEnd w:id="129"/>
      <w:bookmarkEnd w:id="13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rPr>
        <w:t>充分利用“互联网+就业”新模式，准确掌握毕业生求职意愿和用人单位岗位需求，实现精准对接。对毕业生进行分类指导，针对2018届毕业生就业实际需求，“补短板、强特色”，继续开展针对考研、出国留学等专题讲座，针对毕业生就业创业的实际需求，举办高频率的小型专业招聘会，“招聘活动办在哪里，就业服务就跟踪到哪里”。</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31" w:name="_Toc6970_WPSOffice_Level2"/>
      <w:bookmarkStart w:id="132" w:name="_Toc15653"/>
      <w:bookmarkStart w:id="133" w:name="_Toc369271238"/>
      <w:bookmarkStart w:id="134" w:name="_Toc10148_WPSOffice_Level2"/>
      <w:bookmarkStart w:id="135" w:name="_Toc403391069"/>
      <w:r>
        <w:rPr>
          <w:rFonts w:hint="eastAsia"/>
        </w:rPr>
        <w:t>（八）进一步深化分类指导，完善职业规划和创业教育体系</w:t>
      </w:r>
      <w:bookmarkEnd w:id="131"/>
      <w:bookmarkEnd w:id="132"/>
      <w:bookmarkEnd w:id="133"/>
      <w:bookmarkEnd w:id="134"/>
      <w:bookmarkEnd w:id="13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rPr>
        <w:t>依托学院职业生涯规划教研室，进一步整合院内职能部门及分院资源，逐步将《职业生涯规划课》建设成有特色、实效性强的精品课程，建立一支专业化的就业创业教师指导队伍。依托创业学院的建设，积极推进大学生创业园建设，充分发挥入园企业的示范作用和引领帮扶功能，形成创业带动就业的良好氛围。</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36" w:name="_Toc369271239"/>
      <w:bookmarkStart w:id="137" w:name="_Toc5143_WPSOffice_Level2"/>
      <w:bookmarkStart w:id="138" w:name="_Toc403391070"/>
      <w:bookmarkStart w:id="139" w:name="_Toc17520"/>
      <w:bookmarkStart w:id="140" w:name="_Toc23150_WPSOffice_Level2"/>
      <w:r>
        <w:rPr>
          <w:rFonts w:hint="eastAsia"/>
        </w:rPr>
        <w:t>（九）进一步注重就业指导队伍培养</w:t>
      </w:r>
      <w:bookmarkEnd w:id="136"/>
      <w:bookmarkEnd w:id="137"/>
      <w:bookmarkEnd w:id="138"/>
      <w:bookmarkEnd w:id="139"/>
      <w:bookmarkEnd w:id="14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rPr>
        <w:t>加强对就业创业指导工作队伍的专业化培训，建立定期培训计划，积极引进先进合适的培训课程，合理安排负责就业工作的分院领导、就业辅导员、就业工作人员参加专业的职业、创业指导培训。积极发挥校友和社会力量，引进具有相关专业背景的专家进行兼职服务，充实学院就业指导队伍。进一步强化全员参与就业的意识，进一步加强大学生就业指导队伍建设，通过就业导师、专业老师和班主任队伍建设，进一步扩大就业指导队伍，实现就业指导队伍多元化。</w:t>
      </w:r>
    </w:p>
    <w:p>
      <w:pPr>
        <w:pStyle w:val="3"/>
        <w:pageBreakBefore w:val="0"/>
        <w:widowControl w:val="0"/>
        <w:kinsoku/>
        <w:wordWrap/>
        <w:overflowPunct/>
        <w:topLinePunct w:val="0"/>
        <w:autoSpaceDE/>
        <w:autoSpaceDN/>
        <w:bidi w:val="0"/>
        <w:adjustRightInd/>
        <w:snapToGrid/>
        <w:spacing w:line="600" w:lineRule="exact"/>
        <w:ind w:firstLine="562"/>
        <w:textAlignment w:val="auto"/>
      </w:pPr>
      <w:bookmarkStart w:id="141" w:name="_Toc9259"/>
      <w:bookmarkStart w:id="142" w:name="_Toc8076_WPSOffice_Level2"/>
      <w:bookmarkStart w:id="143" w:name="_Toc731_WPSOffice_Level2"/>
      <w:r>
        <w:rPr>
          <w:rFonts w:hint="eastAsia"/>
        </w:rPr>
        <w:t>（十）加强毕业生就业质量调查工作</w:t>
      </w:r>
      <w:bookmarkEnd w:id="141"/>
      <w:bookmarkEnd w:id="142"/>
      <w:bookmarkEnd w:id="143"/>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cs="仿宋_GB2312"/>
        </w:rPr>
      </w:pPr>
      <w:r>
        <w:rPr>
          <w:rFonts w:hint="eastAsia" w:cs="仿宋_GB2312"/>
        </w:rPr>
        <w:t>进一步提高认识，重视浙江省教育评估院所开展的就业质量调查工作，以2018届毕业生毕业一年和2016届毕业生毕业三年的就业质量调查为契机，一方面做好基础信息采集、毕业生动员、跟踪；另一方面，根据市场调研、毕业生质量调查适时调整教学策略和人才培养计划，促进毕业生高质量就业，提高毕业生满意度。</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fHtOLxcCAAAXBAAADgAAAAAA&#10;AAABACAAAAAfAQAAZHJzL2Uyb0RvYy54bWxQSwUGAAAAAAYABgBZAQAAqAUAAAAA&#10;">
              <v:fill on="f" focussize="0,0"/>
              <v:stroke on="f" weight="0.5pt"/>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37D08"/>
    <w:rsid w:val="04401415"/>
    <w:rsid w:val="5AB37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8"/>
      <w:szCs w:val="28"/>
      <w:lang w:val="en-US" w:eastAsia="zh-CN" w:bidi="ar-SA"/>
    </w:rPr>
  </w:style>
  <w:style w:type="paragraph" w:styleId="2">
    <w:name w:val="heading 1"/>
    <w:basedOn w:val="1"/>
    <w:next w:val="1"/>
    <w:qFormat/>
    <w:uiPriority w:val="0"/>
    <w:pPr>
      <w:keepNext/>
      <w:keepLines/>
      <w:spacing w:line="360" w:lineRule="auto"/>
      <w:ind w:firstLine="720" w:firstLineChars="200"/>
      <w:outlineLvl w:val="0"/>
    </w:pPr>
    <w:rPr>
      <w:rFonts w:ascii="Times New Roman" w:hAnsi="Times New Roman" w:eastAsia="黑体" w:cs="Times New Roman"/>
      <w:b/>
      <w:kern w:val="44"/>
    </w:rPr>
  </w:style>
  <w:style w:type="paragraph" w:styleId="3">
    <w:name w:val="heading 2"/>
    <w:basedOn w:val="1"/>
    <w:next w:val="1"/>
    <w:qFormat/>
    <w:uiPriority w:val="0"/>
    <w:pPr>
      <w:keepNext/>
      <w:keepLines/>
      <w:spacing w:line="360" w:lineRule="auto"/>
      <w:ind w:firstLine="720" w:firstLineChars="200"/>
      <w:outlineLvl w:val="1"/>
    </w:pPr>
    <w:rPr>
      <w:rFonts w:ascii="Arial" w:hAnsi="Arial" w:cs="Times New Roman"/>
      <w:b/>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caption"/>
    <w:basedOn w:val="1"/>
    <w:next w:val="1"/>
    <w:qFormat/>
    <w:uiPriority w:val="0"/>
    <w:pPr>
      <w:spacing w:line="360" w:lineRule="auto"/>
      <w:jc w:val="center"/>
    </w:pPr>
    <w:rPr>
      <w:rFonts w:ascii="Times New Roman" w:hAnsi="Times New Roman" w:cs="Times New Roman"/>
      <w:b/>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47790015735"/>
          <c:y val="0.164178430006149"/>
          <c:w val="0.853583178372193"/>
          <c:h val="0.726747284279565"/>
        </c:manualLayout>
      </c:layout>
      <c:lineChart>
        <c:grouping val="standard"/>
        <c:varyColors val="0"/>
        <c:ser>
          <c:idx val="0"/>
          <c:order val="0"/>
          <c:tx>
            <c:strRef>
              <c:f>Sheet1!$B$1</c:f>
              <c:strCache>
                <c:ptCount val="1"/>
                <c:pt idx="0">
                  <c:v>就业率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0179312388855957"/>
                  <c:y val="0.021646051379638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6888677450047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4272121788772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0.00%</c:formatCode>
                <c:ptCount val="4"/>
                <c:pt idx="0">
                  <c:v>0.9659</c:v>
                </c:pt>
                <c:pt idx="1">
                  <c:v>0.9671</c:v>
                </c:pt>
                <c:pt idx="2">
                  <c:v>0.968</c:v>
                </c:pt>
                <c:pt idx="3">
                  <c:v>0.9597</c:v>
                </c:pt>
              </c:numCache>
            </c:numRef>
          </c:val>
          <c:smooth val="0"/>
        </c:ser>
        <c:ser>
          <c:idx val="1"/>
          <c:order val="1"/>
          <c:tx>
            <c:strRef>
              <c:f>Sheet1!$C$1</c:f>
              <c:strCache>
                <c:ptCount val="1"/>
                <c:pt idx="0">
                  <c:v>签约率</c:v>
                </c:pt>
              </c:strCache>
            </c:strRef>
          </c:tx>
          <c:spPr>
            <a:ln w="15875" cap="sq" cmpd="sng">
              <a:solidFill>
                <a:schemeClr val="accent2"/>
              </a:solidFill>
              <a:prstDash val="solid"/>
              <a:round/>
              <a:headEnd type="diamond" w="lg" len="lg"/>
              <a:tailEnd type="diamond" w="lg" len="lg"/>
            </a:ln>
            <a:effectLst/>
          </c:spPr>
          <c:marker>
            <c:symbol val="circle"/>
            <c:size val="5"/>
            <c:spPr>
              <a:solidFill>
                <a:schemeClr val="accent2"/>
              </a:solidFill>
              <a:ln w="9525">
                <a:solidFill>
                  <a:schemeClr val="accent2"/>
                </a:solidFill>
                <a:bevel/>
              </a:ln>
              <a:effectLst/>
            </c:spPr>
          </c:marker>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0.00%</c:formatCode>
                <c:ptCount val="4"/>
                <c:pt idx="0">
                  <c:v>0.8939</c:v>
                </c:pt>
                <c:pt idx="1">
                  <c:v>0.8943</c:v>
                </c:pt>
                <c:pt idx="2">
                  <c:v>0.903</c:v>
                </c:pt>
                <c:pt idx="3">
                  <c:v>0.9279</c:v>
                </c:pt>
              </c:numCache>
            </c:numRef>
          </c:val>
          <c:smooth val="0"/>
        </c:ser>
        <c:dLbls>
          <c:showLegendKey val="0"/>
          <c:showVal val="1"/>
          <c:showCatName val="0"/>
          <c:showSerName val="0"/>
          <c:showPercent val="0"/>
          <c:showBubbleSize val="0"/>
        </c:dLbls>
        <c:marker val="1"/>
        <c:smooth val="0"/>
        <c:axId val="940256481"/>
        <c:axId val="138000822"/>
      </c:lineChart>
      <c:catAx>
        <c:axId val="940256481"/>
        <c:scaling>
          <c:orientation val="minMax"/>
        </c:scaling>
        <c:delete val="0"/>
        <c:axPos val="b"/>
        <c:majorTickMark val="in"/>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138000822"/>
        <c:crosses val="autoZero"/>
        <c:auto val="1"/>
        <c:lblAlgn val="ctr"/>
        <c:lblOffset val="100"/>
        <c:noMultiLvlLbl val="0"/>
      </c:catAx>
      <c:valAx>
        <c:axId val="138000822"/>
        <c:scaling>
          <c:orientation val="minMax"/>
          <c:max val="0.98"/>
          <c:min val="0.88"/>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solidFill>
              <a:schemeClr val="bg1">
                <a:lumMod val="85000"/>
              </a:schemeClr>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256481"/>
        <c:crosses val="autoZero"/>
        <c:crossBetween val="between"/>
        <c:majorUnit val="0.02"/>
      </c:valAx>
      <c:spPr>
        <a:noFill/>
        <a:ln>
          <a:noFill/>
        </a:ln>
        <a:effectLst/>
      </c:spPr>
    </c:plotArea>
    <c:legend>
      <c:legendPos val="t"/>
      <c:layout>
        <c:manualLayout>
          <c:xMode val="edge"/>
          <c:yMode val="edge"/>
          <c:x val="0.33886771910724"/>
          <c:y val="0.0498188405797101"/>
          <c:w val="0.437397931409907"/>
          <c:h val="0.07540760869565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系列 1</c:v>
                </c:pt>
              </c:strCache>
            </c:strRef>
          </c:tx>
          <c:spPr>
            <a:ln w="28575" cap="rnd" cmpd="sng" algn="ctr">
              <a:solidFill>
                <a:srgbClr val="4472C4"/>
              </a:solidFill>
              <a:prstDash val="solid"/>
              <a:round/>
            </a:ln>
            <a:effectLst/>
          </c:spPr>
          <c:marker>
            <c:symbol val="circle"/>
            <c:size val="5"/>
            <c:spPr>
              <a:solidFill>
                <a:srgbClr val="4472C4"/>
              </a:solidFill>
              <a:ln w="9525" cap="flat" cmpd="sng" algn="ctr">
                <a:solidFill>
                  <a:srgbClr val="4472C4"/>
                </a:solidFill>
                <a:prstDash val="solid"/>
                <a:round/>
              </a:ln>
              <a:effectLst/>
            </c:spPr>
          </c:marker>
          <c:dLbls>
            <c:dLbl>
              <c:idx val="0"/>
              <c:layout>
                <c:manualLayout>
                  <c:x val="-0.0577895497230918"/>
                  <c:y val="-0.053663570691434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81579581025765"/>
                  <c:y val="-0.049535603715170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77895497230918"/>
                  <c:y val="-0.057791537667698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1200" b="0" i="0" u="none" strike="noStrike" kern="1200" baseline="0">
                    <a:solidFill>
                      <a:sysClr val="windowText" lastClr="000000"/>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0.00%</c:formatCode>
                <c:ptCount val="4"/>
                <c:pt idx="0">
                  <c:v>0.0424</c:v>
                </c:pt>
                <c:pt idx="1">
                  <c:v>0.0485</c:v>
                </c:pt>
                <c:pt idx="2">
                  <c:v>0.0575</c:v>
                </c:pt>
                <c:pt idx="3">
                  <c:v>0.0645</c:v>
                </c:pt>
              </c:numCache>
            </c:numRef>
          </c:val>
          <c:smooth val="0"/>
        </c:ser>
        <c:dLbls>
          <c:showLegendKey val="0"/>
          <c:showVal val="0"/>
          <c:showCatName val="0"/>
          <c:showSerName val="0"/>
          <c:showPercent val="0"/>
          <c:showBubbleSize val="0"/>
        </c:dLbls>
        <c:marker val="1"/>
        <c:smooth val="0"/>
        <c:axId val="333398400"/>
        <c:axId val="333399936"/>
      </c:lineChart>
      <c:catAx>
        <c:axId val="333398400"/>
        <c:scaling>
          <c:orientation val="minMax"/>
        </c:scaling>
        <c:delete val="0"/>
        <c:axPos val="b"/>
        <c:numFmt formatCode="General" sourceLinked="1"/>
        <c:majorTickMark val="none"/>
        <c:minorTickMark val="in"/>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1050" b="0" i="0" u="none" strike="noStrike" kern="1200" baseline="0">
                <a:solidFill>
                  <a:sysClr val="windowText" lastClr="000000"/>
                </a:solidFill>
                <a:latin typeface="+mn-lt"/>
                <a:ea typeface="+mn-ea"/>
                <a:cs typeface="+mn-cs"/>
              </a:defRPr>
            </a:pPr>
          </a:p>
        </c:txPr>
        <c:crossAx val="333399936"/>
        <c:crosses val="autoZero"/>
        <c:auto val="1"/>
        <c:lblAlgn val="ctr"/>
        <c:lblOffset val="100"/>
        <c:noMultiLvlLbl val="0"/>
      </c:catAx>
      <c:valAx>
        <c:axId val="333399936"/>
        <c:scaling>
          <c:orientation val="minMax"/>
        </c:scaling>
        <c:delete val="0"/>
        <c:axPos val="l"/>
        <c:majorGridlines>
          <c:spPr>
            <a:ln w="9525" cap="flat" cmpd="sng" algn="ctr">
              <a:solidFill>
                <a:schemeClr val="bg1">
                  <a:lumMod val="75000"/>
                </a:schemeClr>
              </a:solidFill>
              <a:prstDash val="solid"/>
              <a:round/>
            </a:ln>
            <a:effectLst/>
          </c:spPr>
        </c:majorGridlines>
        <c:numFmt formatCode="0.00%" sourceLinked="1"/>
        <c:majorTickMark val="none"/>
        <c:minorTickMark val="none"/>
        <c:tickLblPos val="nextTo"/>
        <c:spPr>
          <a:noFill/>
          <a:ln w="6350" cap="flat" cmpd="sng" algn="ctr">
            <a:solidFill>
              <a:srgbClr val="D9D9D9">
                <a:lumMod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33398400"/>
        <c:crosses val="autoZero"/>
        <c:crossBetween val="between"/>
        <c:majorUnit val="0.015"/>
      </c:valAx>
      <c:spPr>
        <a:noFill/>
        <a:ln>
          <a:noFill/>
        </a:ln>
        <a:effectLst/>
      </c:spPr>
    </c:plotArea>
    <c:plotVisOnly val="1"/>
    <c:dispBlanksAs val="gap"/>
    <c:showDLblsOverMax val="0"/>
  </c:chart>
  <c:spPr>
    <a:solidFill>
      <a:srgbClr val="FFFFFF"/>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15942028986"/>
          <c:y val="0.196247840039496"/>
          <c:w val="0.853536231884058"/>
          <c:h val="0.68595408541101"/>
        </c:manualLayout>
      </c:layout>
      <c:lineChart>
        <c:grouping val="standard"/>
        <c:varyColors val="0"/>
        <c:ser>
          <c:idx val="0"/>
          <c:order val="0"/>
          <c:tx>
            <c:strRef>
              <c:f>Sheet1!$B$1</c:f>
              <c:strCache>
                <c:ptCount val="1"/>
                <c:pt idx="0">
                  <c:v>国内升学率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2.74</c:v>
                </c:pt>
                <c:pt idx="1">
                  <c:v>3.8</c:v>
                </c:pt>
                <c:pt idx="2">
                  <c:v>4.29</c:v>
                </c:pt>
                <c:pt idx="3">
                  <c:v>5.2</c:v>
                </c:pt>
              </c:numCache>
            </c:numRef>
          </c:val>
          <c:smooth val="0"/>
        </c:ser>
        <c:ser>
          <c:idx val="1"/>
          <c:order val="1"/>
          <c:tx>
            <c:strRef>
              <c:f>Sheet1!$C$1</c:f>
              <c:strCache>
                <c:ptCount val="1"/>
                <c:pt idx="0">
                  <c:v>国外深造率</c:v>
                </c:pt>
              </c:strCache>
            </c:strRef>
          </c:tx>
          <c:spPr>
            <a:ln w="15875" cap="rnd" cmpd="dbl">
              <a:solidFill>
                <a:schemeClr val="accent2"/>
              </a:solidFill>
              <a:bevel/>
              <a:headEnd type="diamond" w="lg" len="lg"/>
              <a:tailEnd type="diamond" w="lg" len="lg"/>
            </a:ln>
            <a:effectLst/>
          </c:spPr>
          <c:marker>
            <c:symbol val="circle"/>
            <c:size val="5"/>
            <c:spPr>
              <a:solidFill>
                <a:schemeClr val="accent2"/>
              </a:solidFill>
              <a:ln w="9525">
                <a:solidFill>
                  <a:schemeClr val="accent2"/>
                </a:solidFill>
              </a:ln>
              <a:effectLst/>
            </c:spPr>
          </c:marker>
          <c:dLbls>
            <c:numFmt formatCode="0.0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1.5</c:v>
                </c:pt>
                <c:pt idx="1">
                  <c:v>1.05</c:v>
                </c:pt>
                <c:pt idx="2">
                  <c:v>1.46</c:v>
                </c:pt>
                <c:pt idx="3">
                  <c:v>1.25</c:v>
                </c:pt>
              </c:numCache>
            </c:numRef>
          </c:val>
          <c:smooth val="0"/>
        </c:ser>
        <c:dLbls>
          <c:showLegendKey val="0"/>
          <c:showVal val="1"/>
          <c:showCatName val="0"/>
          <c:showSerName val="0"/>
          <c:showPercent val="0"/>
          <c:showBubbleSize val="0"/>
        </c:dLbls>
        <c:marker val="1"/>
        <c:smooth val="0"/>
        <c:axId val="940256481"/>
        <c:axId val="138000822"/>
      </c:lineChart>
      <c:catAx>
        <c:axId val="940256481"/>
        <c:scaling>
          <c:orientation val="minMax"/>
        </c:scaling>
        <c:delete val="0"/>
        <c:axPos val="b"/>
        <c:majorTickMark val="in"/>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138000822"/>
        <c:crosses val="autoZero"/>
        <c:auto val="1"/>
        <c:lblAlgn val="ctr"/>
        <c:lblOffset val="100"/>
        <c:noMultiLvlLbl val="0"/>
      </c:catAx>
      <c:valAx>
        <c:axId val="138000822"/>
        <c:scaling>
          <c:orientation val="minMax"/>
          <c:max val="6"/>
          <c:min val="0.5"/>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low"/>
        <c:spPr>
          <a:noFill/>
          <a:ln w="12700" cap="sq">
            <a:solidFill>
              <a:schemeClr val="bg1">
                <a:lumMod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256481"/>
        <c:crosses val="autoZero"/>
        <c:crossBetween val="between"/>
        <c:majorUnit val="1"/>
        <c:dispUnits>
          <c:builtInUnit val="hundreds"/>
        </c:dispUnits>
      </c:valAx>
      <c:spPr>
        <a:noFill/>
        <a:ln>
          <a:noFill/>
        </a:ln>
        <a:effectLst/>
      </c:spPr>
    </c:plotArea>
    <c:legend>
      <c:legendPos val="t"/>
      <c:layout>
        <c:manualLayout>
          <c:xMode val="edge"/>
          <c:yMode val="edge"/>
          <c:x val="0.324905354245538"/>
          <c:y val="0.0852834113364535"/>
          <c:w val="0.450243374797188"/>
          <c:h val="0.0777431097243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3448275862069"/>
          <c:y val="0.058237378210806"/>
          <c:w val="0.905960591133005"/>
          <c:h val="0.850177147918512"/>
        </c:manualLayout>
      </c:layout>
      <c:lineChart>
        <c:grouping val="standard"/>
        <c:varyColors val="0"/>
        <c:ser>
          <c:idx val="0"/>
          <c:order val="0"/>
          <c:tx>
            <c:strRef>
              <c:f>Sheet1!$B$1</c:f>
              <c:strCache>
                <c:ptCount val="1"/>
                <c:pt idx="0">
                  <c:v>系列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0.00%</c:formatCode>
                <c:ptCount val="4"/>
                <c:pt idx="0">
                  <c:v>0.909</c:v>
                </c:pt>
                <c:pt idx="1">
                  <c:v>0.8861</c:v>
                </c:pt>
                <c:pt idx="2">
                  <c:v>0.8685</c:v>
                </c:pt>
                <c:pt idx="3">
                  <c:v>0.9006</c:v>
                </c:pt>
              </c:numCache>
            </c:numRef>
          </c:val>
          <c:smooth val="0"/>
        </c:ser>
        <c:dLbls>
          <c:showLegendKey val="0"/>
          <c:showVal val="1"/>
          <c:showCatName val="0"/>
          <c:showSerName val="0"/>
          <c:showPercent val="0"/>
          <c:showBubbleSize val="0"/>
        </c:dLbls>
        <c:marker val="1"/>
        <c:smooth val="0"/>
        <c:axId val="639668639"/>
        <c:axId val="63165025"/>
      </c:lineChart>
      <c:catAx>
        <c:axId val="639668639"/>
        <c:scaling>
          <c:orientation val="minMax"/>
        </c:scaling>
        <c:delete val="0"/>
        <c:axPos val="b"/>
        <c:majorTickMark val="none"/>
        <c:minorTickMark val="in"/>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63165025"/>
        <c:crosses val="autoZero"/>
        <c:auto val="1"/>
        <c:lblAlgn val="ctr"/>
        <c:lblOffset val="100"/>
        <c:noMultiLvlLbl val="0"/>
      </c:catAx>
      <c:valAx>
        <c:axId val="631650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bg1">
                <a:lumMod val="85000"/>
              </a:schemeClr>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668639"/>
        <c:crosses val="autoZero"/>
        <c:crossBetween val="between"/>
        <c:majorUnit val="0.02"/>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3448275862069"/>
          <c:y val="0.058237378210806"/>
          <c:w val="0.905960591133005"/>
          <c:h val="0.850177147918512"/>
        </c:manualLayout>
      </c:layout>
      <c:lineChart>
        <c:grouping val="standard"/>
        <c:varyColors val="0"/>
        <c:ser>
          <c:idx val="0"/>
          <c:order val="0"/>
          <c:tx>
            <c:strRef>
              <c:f>Sheet1!$B$1</c:f>
              <c:strCache>
                <c:ptCount val="1"/>
                <c:pt idx="0">
                  <c:v>系列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0.00%</c:formatCode>
                <c:ptCount val="4"/>
                <c:pt idx="0">
                  <c:v>0.4135</c:v>
                </c:pt>
                <c:pt idx="1">
                  <c:v>0.3912</c:v>
                </c:pt>
                <c:pt idx="2">
                  <c:v>0.3778</c:v>
                </c:pt>
                <c:pt idx="3">
                  <c:v>0.4588</c:v>
                </c:pt>
              </c:numCache>
            </c:numRef>
          </c:val>
          <c:smooth val="0"/>
        </c:ser>
        <c:dLbls>
          <c:showLegendKey val="0"/>
          <c:showVal val="1"/>
          <c:showCatName val="0"/>
          <c:showSerName val="0"/>
          <c:showPercent val="0"/>
          <c:showBubbleSize val="0"/>
        </c:dLbls>
        <c:marker val="1"/>
        <c:smooth val="0"/>
        <c:axId val="639668639"/>
        <c:axId val="63165025"/>
      </c:lineChart>
      <c:catAx>
        <c:axId val="639668639"/>
        <c:scaling>
          <c:orientation val="minMax"/>
        </c:scaling>
        <c:delete val="0"/>
        <c:axPos val="b"/>
        <c:majorTickMark val="none"/>
        <c:minorTickMark val="in"/>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63165025"/>
        <c:crosses val="autoZero"/>
        <c:auto val="1"/>
        <c:lblAlgn val="ctr"/>
        <c:lblOffset val="100"/>
        <c:noMultiLvlLbl val="0"/>
      </c:catAx>
      <c:valAx>
        <c:axId val="63165025"/>
        <c:scaling>
          <c:orientation val="minMax"/>
          <c:min val="0.3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bg1">
                <a:lumMod val="85000"/>
              </a:schemeClr>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668639"/>
        <c:crosses val="autoZero"/>
        <c:crossBetween val="between"/>
        <c:majorUnit val="0.025"/>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2018-12-28T01:51:00Z</dcterms:created>
  <dc:creator>郑天翔</dc:creator>
  <cp:lastModifiedBy>soydr1nk</cp:lastModifiedBy>
  <dcterms:modified xsi:type="dcterms:W3CDTF">2018-12-28T01:55:36Z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